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left" w:vertAnchor="margin" w:tblpY="-380" w:leftFromText="180" w:topFromText="0" w:rightFromText="180" w:bottomFromText="0"/>
        <w:tblW w:w="0" w:type="auto"/>
        <w:tblLook w:val="01E0" w:firstRow="1" w:lastRow="1" w:firstColumn="1" w:lastColumn="1" w:noHBand="0" w:noVBand="0"/>
      </w:tblPr>
      <w:tblGrid>
        <w:gridCol w:w="1711"/>
        <w:gridCol w:w="7212"/>
      </w:tblGrid>
      <w:tr>
        <w:tblPrEx/>
        <w:trPr/>
        <w:tc>
          <w:tcPr>
            <w:tcW w:w="1711" w:type="dxa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733425" cy="582930"/>
                      <wp:effectExtent l="0" t="0" r="9525" b="762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3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29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9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</w:p>
        </w:tc>
        <w:tc>
          <w:tcPr>
            <w:tcW w:w="7212" w:type="dxa"/>
            <w:vAlign w:val="center"/>
            <w:textDirection w:val="lrTb"/>
            <w:noWrap w:val="false"/>
          </w:tcPr>
          <w:p>
            <w:pPr>
              <w:jc w:val="center"/>
              <w:spacing w:after="0" w:line="360" w:lineRule="auto"/>
              <w:widowControl w:val="off"/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  <w:t xml:space="preserve">МИНИСТЕРСТВО ОБРАЗОВАНИЯ И НАУКИ ЧЕЛЯБИНСКОЙ ОБЛАСТИ</w:t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  <w:r>
              <w:rPr>
                <w:rFonts w:ascii="Times New Roman" w:hAnsi="Times New Roman"/>
                <w:bCs/>
                <w:caps/>
                <w:sz w:val="18"/>
                <w:szCs w:val="24"/>
                <w:lang w:eastAsia="ar-SA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/>
                <w:sz w:val="18"/>
                <w:szCs w:val="24"/>
                <w:lang w:eastAsia="ar-SA"/>
              </w:rPr>
            </w:pPr>
            <w:r>
              <w:rPr>
                <w:rFonts w:ascii="Times New Roman" w:hAnsi="Times New Roman"/>
                <w:sz w:val="18"/>
                <w:szCs w:val="24"/>
                <w:lang w:eastAsia="ar-SA"/>
              </w:rPr>
              <w:t xml:space="preserve">ГБПОУ  «ЧЕЛЯБИНСКИЙ МЕХАНИКО – ТЕХНОЛОГИЧЕСКИЙ ТЕХНИКУМ»</w:t>
            </w:r>
            <w:r>
              <w:rPr>
                <w:rFonts w:ascii="Times New Roman" w:hAnsi="Times New Roman"/>
                <w:sz w:val="18"/>
                <w:szCs w:val="24"/>
                <w:lang w:eastAsia="ar-SA"/>
              </w:rPr>
            </w:r>
            <w:r>
              <w:rPr>
                <w:rFonts w:ascii="Times New Roman" w:hAnsi="Times New Roman"/>
                <w:sz w:val="18"/>
                <w:szCs w:val="24"/>
                <w:lang w:eastAsia="ar-SA"/>
              </w:rPr>
            </w:r>
          </w:p>
        </w:tc>
      </w:tr>
    </w:tbl>
    <w:p>
      <w:pPr>
        <w:spacing w:after="0" w:line="240" w:lineRule="auto"/>
        <w:widowControl w:val="off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</w:r>
      <w:r>
        <w:rPr>
          <w:rFonts w:ascii="Times New Roman" w:hAnsi="Times New Roman"/>
          <w:b/>
          <w:sz w:val="28"/>
          <w:szCs w:val="28"/>
          <w:lang w:eastAsia="ar-SA"/>
        </w:rPr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tbl>
      <w:tblPr>
        <w:tblW w:w="5387" w:type="dxa"/>
        <w:tblInd w:w="250" w:type="dxa"/>
        <w:tblLook w:val="00A0" w:firstRow="1" w:lastRow="0" w:firstColumn="1" w:lastColumn="0" w:noHBand="0" w:noVBand="0"/>
      </w:tblPr>
      <w:tblGrid>
        <w:gridCol w:w="4394"/>
        <w:gridCol w:w="993"/>
      </w:tblGrid>
      <w:tr>
        <w:tblPrEx/>
        <w:trPr/>
        <w:tc>
          <w:tcPr>
            <w:tcW w:w="439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РАБОЧАЯ ПРОГРАММА </w:t>
      </w:r>
      <w:r>
        <w:rPr>
          <w:rFonts w:ascii="Times New Roman" w:hAnsi="Times New Roman"/>
          <w:b/>
          <w:sz w:val="28"/>
          <w:szCs w:val="28"/>
          <w:lang w:eastAsia="ar-SA"/>
        </w:rPr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t xml:space="preserve">ПМ 05. Организация и ведение процессов приготовления, оформления и подготовка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b/>
          <w:sz w:val="28"/>
          <w:szCs w:val="28"/>
          <w:lang w:eastAsia="ar-SA"/>
        </w:rPr>
      </w:r>
      <w:r>
        <w:rPr>
          <w:rFonts w:ascii="Times New Roman" w:hAnsi="Times New Roman"/>
          <w:b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по специальности </w:t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43.02.15 Поварское и кондитерское дело </w:t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36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  <w:r>
        <w:rPr>
          <w:rFonts w:ascii="Times New Roman" w:hAnsi="Times New Roman"/>
          <w:sz w:val="24"/>
          <w:szCs w:val="24"/>
          <w:lang w:eastAsia="ar-SA"/>
        </w:rPr>
      </w:r>
    </w:p>
    <w:p>
      <w:pPr>
        <w:ind w:left="993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8"/>
          <w:szCs w:val="24"/>
          <w:lang w:eastAsia="ar-SA"/>
        </w:rPr>
      </w:pP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  <w:r>
        <w:rPr>
          <w:rFonts w:ascii="Times New Roman" w:hAnsi="Times New Roman"/>
          <w:sz w:val="28"/>
          <w:szCs w:val="24"/>
          <w:lang w:eastAsia="ar-SA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iCs/>
          <w:sz w:val="28"/>
          <w:szCs w:val="28"/>
          <w:lang w:eastAsia="ar-SA"/>
        </w:rPr>
      </w:pP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  <w:r>
        <w:rPr>
          <w:rFonts w:ascii="Times New Roman" w:hAnsi="Times New Roman"/>
          <w:iCs/>
          <w:sz w:val="28"/>
          <w:szCs w:val="28"/>
          <w:lang w:eastAsia="ar-SA"/>
        </w:rPr>
      </w:r>
    </w:p>
    <w:p>
      <w:pPr>
        <w:jc w:val="center"/>
        <w:spacing w:after="0" w:line="240" w:lineRule="auto"/>
        <w:rPr>
          <w:rFonts w:ascii="Times New Roman" w:hAnsi="Times New Roman"/>
          <w:color w:val="000000"/>
          <w:sz w:val="27"/>
          <w:szCs w:val="27"/>
        </w:rPr>
      </w:pPr>
      <w:r>
        <w:rPr>
          <w:rFonts w:ascii="Times New Roman" w:hAnsi="Times New Roman"/>
          <w:iCs/>
          <w:sz w:val="28"/>
          <w:szCs w:val="28"/>
          <w:lang w:eastAsia="ar-SA"/>
        </w:rPr>
        <w:t xml:space="preserve">Челябинск, 2024</w:t>
      </w:r>
      <w:r>
        <w:rPr>
          <w:rFonts w:ascii="Times New Roman" w:hAnsi="Times New Roman"/>
          <w:color w:val="000000"/>
          <w:sz w:val="27"/>
          <w:szCs w:val="27"/>
        </w:rPr>
      </w:r>
      <w:r>
        <w:rPr>
          <w:rFonts w:ascii="Times New Roman" w:hAnsi="Times New Roman"/>
          <w:color w:val="000000"/>
          <w:sz w:val="27"/>
          <w:szCs w:val="27"/>
        </w:rPr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СОДЕРЖАНИЕ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>
        <w:tblPrEx/>
        <w:trPr>
          <w:trHeight w:val="474"/>
        </w:trPr>
        <w:tc>
          <w:tcPr>
            <w:tcW w:w="9007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 ОБЩАЯ ХАРАКТЕРИСТИКА ПРОГРАММЫ ПРОФЕССИОНАЛЬНОГО МОДУЛЯ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720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И СОДЕРЖАНИЕ ПРОФЕССИОНАЛЬНОГО МОДУЛЯ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 УСЛОВИЯ РЕАЛИЗАЦИИ ПРОГРАММЫ ПРОФЕССИОНАЛЬНОГО  МОДУЛЯ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2"/>
        </w:trPr>
        <w:tc>
          <w:tcPr>
            <w:tcW w:w="9007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00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sz w:val="24"/>
          <w:szCs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20" w:equalWidth="1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ОБЩАЯ ХАРАКТЕРИСТИКА ПРОГРАММЫ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ПРОФЕССИОНАЛЬНОГО МОДУЛЯ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1.1. Область примерной программы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профессионального модуля является частью основной образовательной программы в соответствии с ФГОС СПО по специальности 43.02.15 Поварское и кондитерское дело,</w:t>
      </w:r>
      <w:r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РФ от 09 декабря 2016 г. №1565. С учетом изменений ФГОС согласно приказу Министерства Просвещения Российской Федерации от 17 декабря 2020 года №747</w:t>
      </w:r>
      <w:r>
        <w:rPr>
          <w:rFonts w:ascii="Times New Roman" w:hAnsi="Times New Roman"/>
          <w:bCs/>
          <w:sz w:val="24"/>
          <w:szCs w:val="24"/>
        </w:rPr>
        <w:t xml:space="preserve">, от 03.07.204 №464</w:t>
      </w:r>
      <w:r>
        <w:rPr>
          <w:rFonts w:ascii="Times New Roman" w:hAnsi="Times New Roman"/>
          <w:bCs/>
          <w:sz w:val="24"/>
          <w:szCs w:val="24"/>
        </w:rPr>
        <w:t xml:space="preserve"> «О внесении изменений в федеральные государственные образовательные стандарты среднего профессионального образования».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658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Программа разработана в соответствии с рекомендациями примерной основой образовательной программой разработанной Федеральным учебно-методическим  объединением в системе СПО по укрупненной группе профессий 43.00.00 Сервис и туризм. 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 Цель и планируемые результаты освоения профессионального модуля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изучения профессионального модуля студент должен освоить вид профессиональной деятельности: Организация и ведение процессов приготовления, </w:t>
      </w:r>
      <w:r>
        <w:rPr>
          <w:rFonts w:ascii="Times New Roman" w:hAnsi="Times New Roman"/>
          <w:sz w:val="24"/>
          <w:szCs w:val="24"/>
        </w:rPr>
        <w:t xml:space="preserve">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и соответствующие ему профессиональные компетенции, и общие компетенции: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1.2.1 Перечень профессиональных компетенций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15"/>
        <w:ind w:firstLine="709"/>
        <w:jc w:val="both"/>
        <w:spacing w:before="0" w:after="0"/>
        <w:rPr>
          <w:rFonts w:ascii="Times New Roman" w:hAnsi="Times New Roman" w:eastAsia="Calibri"/>
          <w:b w:val="0"/>
          <w:i w:val="0"/>
          <w:iCs w:val="0"/>
          <w:sz w:val="24"/>
          <w:szCs w:val="24"/>
        </w:rPr>
      </w:pPr>
      <w:r>
        <w:rPr>
          <w:rStyle w:val="997"/>
          <w:rFonts w:ascii="Times New Roman" w:hAnsi="Times New Roman" w:eastAsia="Calibri"/>
          <w:b w:val="0"/>
          <w:iCs w:val="0"/>
          <w:sz w:val="24"/>
          <w:szCs w:val="24"/>
        </w:rPr>
        <w:t xml:space="preserve">Выпускник, освоивший программу СПО по специальности должен обладать профессиональными компетенциями </w:t>
      </w:r>
      <w:r>
        <w:rPr>
          <w:rFonts w:ascii="Times New Roman" w:hAnsi="Times New Roman" w:eastAsia="Calibri"/>
          <w:b w:val="0"/>
          <w:i w:val="0"/>
          <w:iCs w:val="0"/>
          <w:sz w:val="24"/>
          <w:szCs w:val="24"/>
        </w:rPr>
      </w:r>
      <w:r>
        <w:rPr>
          <w:rFonts w:ascii="Times New Roman" w:hAnsi="Times New Roman" w:eastAsia="Calibri"/>
          <w:b w:val="0"/>
          <w:i w:val="0"/>
          <w:iCs w:val="0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5.2. Осуществлять приготовление, хранение отделочных полуфабрикатов для хлебобулочных, мучных кондитерских изделий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5.5. 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851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1.2.2. Перечень общих компетенций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988"/>
        <w:gridCol w:w="8583"/>
      </w:tblGrid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Наименование общих компетенций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r>
          </w:p>
        </w:tc>
      </w:tr>
      <w:tr>
        <w:tblPrEx/>
        <w:trPr>
          <w:trHeight w:val="327"/>
        </w:trPr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01.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Выбирать способы решения задач профессиональной деятельности, применительно к различным контекстам.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ОК.03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ОК.04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Эффективно взаимодействовать и работать в коллективе и команде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Проявлять гражданс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ОК.08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tcW w:w="98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ОК.09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8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Пользоваться профессиональной документацией на государственном и иностранном языках</w:t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r>
          </w:p>
        </w:tc>
      </w:tr>
    </w:tbl>
    <w:p>
      <w:r/>
      <w:r/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1.2.3. </w:t>
      </w:r>
      <w:r>
        <w:rPr>
          <w:rFonts w:ascii="Times New Roman" w:hAnsi="Times New Roman"/>
          <w:b/>
          <w:bCs/>
          <w:sz w:val="24"/>
          <w:szCs w:val="24"/>
        </w:rPr>
        <w:t xml:space="preserve">В результате освоения профессионального модуля студент должен: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знать: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требованиям охраны труда, пожарной безопасности, и производственной, санитарии в организациях питания;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 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назначение, правила, безопасной эксплуатации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приборов, посуды и правила ухода за ними;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ассортимент, требования к качеству, условия и сроки хранения хлебобулочных, мучных кондитерских изделий сложного ассортимента;</w: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актуальные направления в области приготовления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рецептуры, современные м</w:t>
      </w:r>
      <w:r>
        <w:rPr>
          <w:rFonts w:ascii="Times New Roman" w:hAnsi="Times New Roman"/>
          <w:color w:val="000000"/>
          <w:sz w:val="24"/>
          <w:szCs w:val="24"/>
        </w:rPr>
        <w:t xml:space="preserve">етоды подготовки сырья, продуктов, приготовления теста, отделочных полуфабрикатов, формовки, варианты оформления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способы сокращения потерь и сохранения пищевой ценности продуктов при приготовлении хлебобулочных, мучных кондитерских изделий;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правила разработки рецептур, составления заявок на продукты. 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уметь</w:t>
      </w:r>
      <w:r>
        <w:rPr>
          <w:rFonts w:ascii="Times New Roman" w:hAnsi="Times New Roman"/>
          <w:color w:val="000000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оценивать их качество и соответствие технологическим требованиям;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 в соответствии с инструкциями и регламентами;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проводить различными ме</w:t>
      </w:r>
      <w:r>
        <w:rPr>
          <w:rFonts w:ascii="Times New Roman" w:hAnsi="Times New Roman"/>
          <w:color w:val="000000"/>
          <w:sz w:val="24"/>
          <w:szCs w:val="24"/>
        </w:rPr>
        <w:t xml:space="preserve">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хранить, </w:t>
      </w:r>
      <w:r>
        <w:rPr>
          <w:rFonts w:ascii="Times New Roman" w:hAnsi="Times New Roman"/>
          <w:color w:val="000000"/>
          <w:sz w:val="24"/>
          <w:szCs w:val="24"/>
        </w:rPr>
        <w:t xml:space="preserve">порционировать</w:t>
      </w:r>
      <w:r>
        <w:rPr>
          <w:rFonts w:ascii="Times New Roman" w:hAnsi="Times New Roman"/>
          <w:color w:val="000000"/>
          <w:sz w:val="24"/>
          <w:szCs w:val="24"/>
        </w:rPr>
        <w:t xml:space="preserve"> (комплектовать), эстетично упаковывать на вынос готовую продукцию с учетом требований к безопасности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иметь практический опыт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в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разработке ассортимента хлебобулочных мучных, кондитерских, изделий, с учетом потребностей различных категорий потребителей, видов и форм обслуживания;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разработке адаптации рецептур с учетом взаимозаменяемости продуктов, изменения выхода продукции, вида и формы обслуживания;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</w:r>
      <w:r>
        <w:rPr>
          <w:rFonts w:ascii="Times New Roman" w:hAnsi="Times New Roman"/>
          <w:color w:val="000000"/>
          <w:sz w:val="24"/>
          <w:szCs w:val="24"/>
        </w:rPr>
        <w:t xml:space="preserve">весоизмерительных</w:t>
      </w:r>
      <w:r>
        <w:rPr>
          <w:rFonts w:ascii="Times New Roman" w:hAnsi="Times New Roman"/>
          <w:color w:val="000000"/>
          <w:sz w:val="24"/>
          <w:szCs w:val="24"/>
        </w:rPr>
        <w:t xml:space="preserve"> приборов в соответствии с инструкциями и регламентами;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53" w:firstLine="284"/>
        <w:jc w:val="both"/>
        <w:spacing w:before="5"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before="5"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приготовлении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43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упаковке, хранении готовой продукции с учетом требований к безопасности;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приготовлении</w:t>
      </w:r>
      <w:r>
        <w:rPr>
          <w:rFonts w:ascii="Times New Roman" w:hAnsi="Times New Roman"/>
          <w:color w:val="000000"/>
          <w:sz w:val="24"/>
          <w:szCs w:val="24"/>
        </w:rPr>
        <w:t xml:space="preserve">, хранении фаршей, начинок, отделочных полуфабрикатов;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подготовке к использованию и хранении отделочных полуфабрикатов промышленного производства;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контроле</w:t>
      </w:r>
      <w:r>
        <w:rPr>
          <w:rFonts w:ascii="Times New Roman" w:hAnsi="Times New Roman"/>
          <w:color w:val="000000"/>
          <w:sz w:val="24"/>
          <w:szCs w:val="24"/>
        </w:rPr>
        <w:t xml:space="preserve"> качества и безопасности готовой кулинарной продукции;</w: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ind w:left="38" w:firstLine="284"/>
        <w:jc w:val="both"/>
        <w:spacing w:after="0"/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контроле</w:t>
      </w:r>
      <w:r>
        <w:rPr>
          <w:rFonts w:ascii="Times New Roman" w:hAnsi="Times New Roman"/>
          <w:color w:val="000000"/>
          <w:sz w:val="24"/>
          <w:szCs w:val="24"/>
        </w:rPr>
        <w:t xml:space="preserve"> хранения и расхода продуктов.</w:t>
      </w:r>
      <w:r>
        <w:rPr>
          <w:rFonts w:ascii="Times New Roman" w:hAnsi="Times New Roman"/>
          <w:color w:val="000000"/>
          <w:sz w:val="24"/>
          <w:szCs w:val="24"/>
        </w:rPr>
      </w:r>
      <w:r>
        <w:rPr>
          <w:rFonts w:ascii="Times New Roman" w:hAnsi="Times New Roman"/>
          <w:color w:val="000000"/>
          <w:sz w:val="24"/>
          <w:szCs w:val="24"/>
        </w:rPr>
      </w:r>
    </w:p>
    <w:p>
      <w:pPr>
        <w:jc w:val="both"/>
        <w:spacing w:after="0"/>
        <w:shd w:val="clear" w:color="auto" w:fill="ffff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/>
      <w:bookmarkStart w:id="0" w:name="page11"/>
      <w:r/>
      <w:bookmarkEnd w:id="0"/>
      <w:r>
        <w:rPr>
          <w:rFonts w:ascii="Times New Roman" w:hAnsi="Times New Roman"/>
          <w:b/>
          <w:sz w:val="24"/>
          <w:szCs w:val="24"/>
        </w:rPr>
        <w:t xml:space="preserve">1.3. Количество часов, отводимое на освоение профессионального модуля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Всего часов 422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Из них   на освоение МДК 242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Курсовые проекты 20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Консультации 12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Промежуточная аттестация 6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на практики: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учебная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72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  <w:sectPr>
          <w:footnotePr/>
          <w:endnotePr/>
          <w:type w:val="nextPage"/>
          <w:pgSz w:w="11907" w:h="16840" w:orient="portrait"/>
          <w:pgMar w:top="992" w:right="851" w:bottom="680" w:left="85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производственная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108 часов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2. СТРУКТУРА и содержание профессионального модуля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tbl>
      <w:tblPr>
        <w:tblW w:w="511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1766"/>
        <w:gridCol w:w="4909"/>
        <w:gridCol w:w="1221"/>
        <w:gridCol w:w="1218"/>
        <w:gridCol w:w="950"/>
        <w:gridCol w:w="1353"/>
        <w:gridCol w:w="922"/>
        <w:gridCol w:w="560"/>
        <w:gridCol w:w="692"/>
        <w:gridCol w:w="812"/>
        <w:gridCol w:w="677"/>
        <w:gridCol w:w="655"/>
      </w:tblGrid>
      <w:tr>
        <w:tblPrEx/>
        <w:trPr/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Коды профессиональных общих компетенций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Наименования разделов профессионального модуля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  <w:t xml:space="preserve">Объем образовательной программы, час.</w:t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0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Объем образовательной программы, час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8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Самостоятельная работа учебная  работа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5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Консультации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8" w:type="pct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Промежуточная  аттестация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6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809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Занятия во взаимодействии с преподавателем, час.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iCs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iCs/>
                <w:sz w:val="24"/>
                <w:szCs w:val="24"/>
              </w:rPr>
            </w:r>
          </w:p>
        </w:tc>
        <w:tc>
          <w:tcPr>
            <w:gridSpan w:val="4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41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Обучение по МДК, час.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9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Практики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7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Всего учебных занятий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gridSpan w:val="3"/>
            <w:tcBorders>
              <w:top w:val="single" w:color="auto" w:sz="12" w:space="0"/>
            </w:tcBorders>
            <w:tcW w:w="1025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т.ч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78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  <w:t xml:space="preserve">Учебная</w:t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vMerge w:val="restart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 xml:space="preserve">Производственная</w:t>
            </w:r>
            <w:r>
              <w:rPr>
                <w:rFonts w:ascii="Times New Roman" w:hAnsi="Times New Roman" w:eastAsiaTheme="minorEastAsia"/>
              </w:rPr>
              <w:t xml:space="preserve"> часов</w:t>
            </w:r>
            <w:r>
              <w:rPr>
                <w:rFonts w:ascii="Times New Roman" w:hAnsi="Times New Roman" w:eastAsiaTheme="minorEastAsia"/>
              </w:rPr>
            </w:r>
            <w:r>
              <w:rPr>
                <w:rFonts w:ascii="Times New Roman" w:hAnsi="Times New Roman" w:eastAsiaTheme="minorEastAsia"/>
              </w:rPr>
            </w:r>
          </w:p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cantSplit/>
          <w:trHeight w:val="1745"/>
        </w:trPr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387" w:type="pct"/>
            <w:vAlign w:val="center"/>
            <w:vMerge w:val="continue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302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</w:rPr>
              <w:t xml:space="preserve">Теоретическое обучение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</w:tcBorders>
            <w:tcW w:w="430" w:type="pct"/>
            <w:vAlign w:val="center"/>
            <w:textDirection w:val="btLr"/>
            <w:noWrap w:val="false"/>
          </w:tcPr>
          <w:p>
            <w:pPr>
              <w:ind w:left="113" w:right="113"/>
              <w:jc w:val="both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 w:eastAsiaTheme="minorEastAsia"/>
                <w:sz w:val="20"/>
                <w:szCs w:val="20"/>
              </w:rPr>
              <w:t xml:space="preserve">лабораторные работы и практические занятия, часов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bottom w:val="single" w:color="auto" w:sz="12" w:space="0"/>
            </w:tcBorders>
            <w:tcW w:w="293" w:type="pct"/>
            <w:textDirection w:val="btLr"/>
            <w:noWrap w:val="false"/>
          </w:tcPr>
          <w:p>
            <w:pPr>
              <w:ind w:left="113" w:right="113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курсовая проект (работа)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ind w:left="113" w:right="113"/>
              <w:spacing w:after="0" w:line="240" w:lineRule="auto"/>
              <w:rPr>
                <w:rFonts w:ascii="Times New Roman" w:hAnsi="Times New Roman" w:eastAsiaTheme="minorEastAsia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часов</w:t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  <w:r>
              <w:rPr>
                <w:rFonts w:ascii="Times New Roman" w:hAnsi="Times New Roman" w:eastAsiaTheme="minorEastAsia"/>
                <w:sz w:val="20"/>
                <w:szCs w:val="20"/>
              </w:rPr>
            </w:r>
          </w:p>
        </w:tc>
        <w:tc>
          <w:tcPr>
            <w:tcBorders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vMerge w:val="continue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  <w:r>
              <w:rPr>
                <w:rFonts w:ascii="Times New Roman" w:hAnsi="Times New Roman" w:eastAsiaTheme="minorEastAsia"/>
                <w:sz w:val="24"/>
                <w:szCs w:val="24"/>
              </w:rPr>
            </w:r>
          </w:p>
        </w:tc>
      </w:tr>
      <w:tr>
        <w:tblPrEx/>
        <w:trPr>
          <w:trHeight w:val="1277"/>
        </w:trPr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МДК 05.01.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Организация процессов </w:t>
            </w:r>
            <w:r>
              <w:rPr>
                <w:rStyle w:val="987"/>
                <w:rFonts w:ascii="Times New Roman" w:hAnsi="Times New Roman"/>
                <w:sz w:val="28"/>
                <w:szCs w:val="28"/>
              </w:rPr>
              <w:t xml:space="preserve">приготовления, подготовки к 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хлебобулочных, мучных кондитерских изделий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сложного ассортимента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60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  <w:t xml:space="preserve">-</w:t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МДК 05.02.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Процессы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приготовления, подготовки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 реализации хлебобулочных, мучных кондитерских изделий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сложного ассортимента</w:t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  <w:r>
              <w:rPr>
                <w:rFonts w:ascii="Times New Roman" w:hAnsi="Times New Roman"/>
                <w:i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170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</w:tc>
        <w:tc>
          <w:tcPr>
            <w:tcBorders>
              <w:left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160</w:t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  <w:r>
              <w:rPr>
                <w:rFonts w:ascii="Times New Roman" w:hAnsi="Times New Roman" w:eastAsiaTheme="minorEastAsia"/>
                <w:color w:val="ff0000"/>
                <w:sz w:val="28"/>
                <w:szCs w:val="28"/>
                <w:highlight w:val="yellow"/>
                <w:lang w:val="en-US"/>
              </w:rPr>
            </w:r>
          </w:p>
        </w:tc>
        <w:tc>
          <w:tcPr>
            <w:tcBorders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64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96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W w:w="29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5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56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560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Учебная и производственная практика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180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gridSpan w:val="2"/>
            <w:shd w:val="clear" w:color="auto" w:fill="d9d9d9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689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  <w:t xml:space="preserve">108</w:t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  <w:tc>
          <w:tcPr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sz w:val="28"/>
                <w:szCs w:val="28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2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Всего: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38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422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tcW w:w="387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220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302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106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43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114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</w:tcBorders>
            <w:tcW w:w="29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20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tcW w:w="178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72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20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108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5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1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12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  <w:tc>
          <w:tcPr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tcW w:w="208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  <w:r>
              <w:rPr>
                <w:rFonts w:ascii="Times New Roman" w:hAnsi="Times New Roman" w:eastAsiaTheme="minorEastAsia"/>
                <w:b/>
                <w:sz w:val="28"/>
                <w:szCs w:val="28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 w:eastAsiaTheme="minorEastAsia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ascii="Times New Roman" w:hAnsi="Times New Roman" w:eastAsiaTheme="minorEastAsia"/>
          <w:b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2.2. Тематический план и содержание профессионального модуля (ПМ)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9"/>
        <w:gridCol w:w="738"/>
        <w:gridCol w:w="6"/>
        <w:gridCol w:w="123"/>
        <w:gridCol w:w="8895"/>
        <w:gridCol w:w="1526"/>
        <w:gridCol w:w="1523"/>
      </w:tblGrid>
      <w:tr>
        <w:tblPrEx/>
        <w:trPr>
          <w:trHeight w:val="155"/>
        </w:trPr>
        <w:tc>
          <w:tcPr>
            <w:gridSpan w:val="2"/>
            <w:tcW w:w="83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Наименование разделов и тем профессионального модуля (ПМ), междисциплинарных курсов (МДК)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Содержание учебного материала, лабораторные работы и практические занятия, внеаудиторная (самостоятельная) учебная работа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, курсовая работа (проект) (если предусмотрены)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Объем часов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, ПК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МДК. 05.01.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Организация процессов приготовления,  оформления, подготовки к реализации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Классификация, ассортимент хлебобулочных, мучных кондитерских изделий сложного приготовления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 сложных хлебобулочных, мучных кондитерских изделий, их классификация в зависимости от используемого сырья и метода приготовления.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 и назначение различных видов отделочных полуфабрикатов, используемых в приготовлении хлебобулочных, мучных кондитерских изделий, в том числе промышленного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Принципы формирования ассортимента хлебобулочных, мучных кондитерских изделий в организациях различного типа, направлений специализации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6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стоимости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02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Технологическая документация, порядок ее разработки.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6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Адаптация рецептур хлебобулочных, мучных кондитерских изделий сложного ассортимента.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1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Нормативно-технологическая документация кондитера: справочник кондитера, сборники рецептур, отраслевые стандарты, порядок их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4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Учетно-отчетная документация кондитера, порядок ее оформления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4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shd w:val="clear" w:color="auto" w:fill="d9d9d9" w:themeFill="background1" w:themeFillShade="D9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14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технологических карт по различным источникам: сборникам рецептур, справочнику кондитера.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14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калькуляционных карт, наряда-заказа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14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3.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Адаптация рецептур хлебобулочных, мучных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кондитерских изделий сложного ассортимента с учетом изменения выхода готовых изделий, взаимозаменяемости сырья.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Характеристика процессов приготовления, оформления и подготовки к реализации хлебобулочных, мучных кондитерских изделий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59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хлебобулочных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мучных кондитерских изделий.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Последовательность выполнения технологических операций и их характеристика. Профессиональный словарь кондитера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67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Технологический цикл приготовления, оформления и подготовки к реализации мучных кондитерских изделий.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 Последовательность выполнения технологических операций и их характеристика. Профессиональный словарь кондитера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Arial Unicode MS"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  <w:r>
              <w:rPr>
                <w:rFonts w:ascii="Times New Roman" w:hAnsi="Times New Roman" w:eastAsia="Arial Unicode MS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Физико-химические процессы, влияющие на формирование качества хлебобулочных, мучных кондитерских изделий.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91"/>
        </w:trPr>
        <w:tc>
          <w:tcPr>
            <w:gridSpan w:val="2"/>
            <w:tcW w:w="83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техническое оснащение работ по приготовлению, оформлению и подготовке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 реализации хлебобулочных, мучных кондитерских изделий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383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техническое оснащение работ</w:t>
            </w:r>
            <w:r>
              <w:rPr>
                <w:rFonts w:ascii="Times New Roman" w:hAnsi="Times New Roman" w:eastAsia="Arial Unicode MS"/>
                <w:sz w:val="24"/>
                <w:szCs w:val="24"/>
              </w:rPr>
              <w:t xml:space="preserve"> на различных участках кондитерского цеха.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4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механического оборудования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5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теплового оборудования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5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>
              <w:rPr>
                <w:rFonts w:ascii="yandex-sans" w:hAnsi="yandex-sans"/>
                <w:sz w:val="23"/>
                <w:szCs w:val="23"/>
                <w:shd w:val="clear" w:color="auto" w:fill="ffffff"/>
              </w:rPr>
              <w:t xml:space="preserve">Виды, назначение, правила безопасной эксплуатации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холодильного, вспомогательного  оборудования, оборудования и приборов для измерений. </w:t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5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shd w:val="clear" w:color="auto" w:fill="ffffff"/>
              <w:rPr>
                <w:rFonts w:asciiTheme="minorHAnsi" w:hAnsiTheme="minorHAnsi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Виды, назначение, правила безопасной эксплуатации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немеханического оборудования</w:t>
            </w:r>
            <w:r>
              <w:rPr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производственного инвентаря и приспособлений, правила ухода за ними 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9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Требования к организации рабочих мест. Правила организации хранения кондитерского сырья и материалов в цехе. Правила утилизации отходов.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750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выполнению работ в кондитерском цехе.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Система ХАССП, как условие обеспечения безопасности продукции и услуг в организациях питания.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1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Санитарно-гигиенические требования к изготовлению и хранению сложных хлебобулочных, мучных и кондитерских изделий. Санитарные требования к личной гигиене персонала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1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качества и безопасности сырья и готовой продукции.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1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2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2"/>
            <w:tcW w:w="2931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Актуальные направления в совершенствовании организации производства сложных хлебобулочных, мучных и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shd w:val="clear" w:color="auto" w:fill="d9d9d9" w:themeFill="background1" w:themeFillShade="D9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Тренинг по отработке умений по организации рабочих мест кондитера на различных участках и безопасной эксплуатации технологического оборудования, производственного инвентаря, инструментов, кухонной посуды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67"/>
        </w:trPr>
        <w:tc>
          <w:tcPr>
            <w:gridSpan w:val="2"/>
            <w:tcW w:w="836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1.4.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Ресурсное обеспечение работ в кондитерском цехе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83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Классификация, качество и безопасность кондитерского сырья  для приготовления сложных хлебобулочных, мучных и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838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Товароведная характеристика, назначение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различных видов кондитерского сырья и продуктов, используемых при приготовлении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64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Требования к качеству, условия и сроки хранения. Правила подготовки кондитерского сырья и продуктов к использованию.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941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Конд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итерские смеси, отделочные полуфабрикаты промышленного производства, пищевые добавки, используемые при производстве мучных кондитерских изделий.  Их характеристика, назначение, использование для оптимизации технологического процесса, удешевления стоимости.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62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jc w:val="both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Правила сочетаемости, взаимозаменяемости, рационального использования основных продуктов и дополнительных ингредиентов при приготовлении хлебобулочных, мучных и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</w:pPr>
            <w:r/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22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Правила оформления заявок на склад.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Виды, назначение и правила эксплуатации приборов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для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экспресс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оценки качества и безопасности сырья, продуктов, готовых сухих смесей и отделочных полуфабрикатов.</w:t>
            </w:r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lef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06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textDirection w:val="lrTb"/>
            <w:noWrap w:val="false"/>
          </w:tcPr>
          <w:p>
            <w:pPr>
              <w:contextualSpacing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Расходные материалы, используемые при приготовлении мучных кондитерских изделий. Характеристика, назначение, требования к качеству, безопасности, порядок их использования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shd w:val="clear" w:color="auto" w:fill="d9d9d9" w:themeFill="background1" w:themeFillShade="D9"/>
            <w:tcW w:w="317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55"/>
        </w:trPr>
        <w:tc>
          <w:tcPr>
            <w:gridSpan w:val="2"/>
            <w:tcW w:w="836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240" w:type="pct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Решение ситуационных задач на взаимозаменяемость сырья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 -5.5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МДК.05.02.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роцессы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приготовления, подготовки к реализации хлебобулочных, мучных кондитерских изделий сложного ассортимента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shd w:val="clear" w:color="d9d9d9" w:themeColor="background1" w:themeShade="D9" w:fill="d9d9d9" w:themeFill="background1" w:themeFillShade="D9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Отделочные полуфабрикаты, фарши, начинки, используемые при приготовлении сложных хлебобулочных, мучных кондитерских изделий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  <w:r>
              <w:rPr>
                <w:rFonts w:ascii="Times New Roman" w:hAnsi="Times New Roman"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сиропов, правила и режим варки, требования к качеству, условия и сроки хранения.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Помада основная, сахарная, молочная, шоколадная. Рецептуры, правила и режим варки, использование, требования к качеству, условия и сроки хранения.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карамели, правила и режим уваривания, использование, требования к качеству, условия и сроки хранения.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300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Украшения из карамели,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желе,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Виды глазури, шоколадные покрытия (ганаш,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кувертюр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«Опера»), фруктовые (желе, гели), способы приготовления.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Темперирование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шоколада.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Приготовление сливочных кремов.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Ассортимент</w:t>
            </w:r>
            <w:r>
              <w:rPr>
                <w:rFonts w:asciiTheme="minorHAnsi" w:hAnsiTheme="minorHAnsi"/>
                <w:color w:val="000000"/>
                <w:sz w:val="23"/>
                <w:szCs w:val="23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рецептуры, технология приготовления, назначение.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качеству, условия и сроки хранения сливочных кремов.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Белковый крем, ассортимент, рецептуры, технология приготовления, назначение.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Заварной крем, ассортимент, рецептуры, технология приготовления, использование.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рецептуры, технология приготовления, назначение кремов из молочных продуктов (сметаны, творога, сливок). Требования к качеству, условия и сроки хранения.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Назначение кремов  комбинированных («Суфле»,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Шибу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йогуртовые, фруктовые, муссы, десертные)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ецептуры, технология приготовления. Требования к качеству,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Мастика (сахарная сырцовая и заварная, молочная, зефирная) и марципан (сырцовый, заварной).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Виды, рецептура, правила приготовления, требования к качеству, условия и сроки хранения. Использование при приготовлении хлебобулочных, мучных кондитерских изделий</w:t>
            </w:r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Посыпки, крошки, виды, приготовление, использование в отделке хлебобулочных, мучных кондитерских изделий</w:t>
            </w:r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Отделочные полуфабрикаты из продуктов и смесей промышленного производства, способы приготовления. 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300" w:lineRule="auto"/>
              <w:widowControl w:val="off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Украшения из крема и рисовальной массы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Фарши, начинки: виды, приготовление, назначение, требования к качеству, условия и сроки хранения</w:t>
            </w:r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№ 1.</w:t>
            </w:r>
            <w:r>
              <w:rPr>
                <w:rFonts w:ascii="Times New Roman" w:hAnsi="Times New Roman"/>
                <w:sz w:val="24"/>
              </w:rPr>
              <w:t xml:space="preserve"> Составление технологических карт и сырьевых ведомостей для приготовления сложных отделочных полуфабрикатов.</w:t>
            </w:r>
            <w:r>
              <w:rPr>
                <w:rFonts w:ascii="Times New Roman" w:hAnsi="Times New Roman"/>
                <w:sz w:val="24"/>
              </w:rPr>
            </w:r>
            <w:r>
              <w:rPr>
                <w:rFonts w:ascii="Times New Roman" w:hAnsi="Times New Roman"/>
                <w:sz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Практическое занятие № 2. </w:t>
            </w:r>
            <w:r>
              <w:rPr>
                <w:rFonts w:ascii="Times New Roman" w:hAnsi="Times New Roman"/>
                <w:sz w:val="24"/>
              </w:rPr>
              <w:t xml:space="preserve">Разработка технико – технологических карт для сложных отделочных полуфабрикатов.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 1. </w:t>
            </w:r>
            <w:r>
              <w:rPr>
                <w:rFonts w:ascii="Times New Roman" w:hAnsi="Times New Roman"/>
                <w:sz w:val="24"/>
              </w:rPr>
              <w:t xml:space="preserve">Приготовление сложных отделочных полуфабрикатов.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Лабораторная работа № 2. </w:t>
            </w:r>
            <w:r>
              <w:rPr>
                <w:rFonts w:ascii="Times New Roman" w:hAnsi="Times New Roman"/>
                <w:sz w:val="24"/>
              </w:rPr>
              <w:t xml:space="preserve">Приготовление сложных украшений из отделочных полуфабрикатов.</w:t>
            </w:r>
            <w:r>
              <w:rPr>
                <w:rFonts w:ascii="Times New Roman" w:hAnsi="Times New Roman"/>
                <w:b/>
                <w:sz w:val="24"/>
              </w:rPr>
            </w:r>
            <w:r>
              <w:rPr>
                <w:rFonts w:ascii="Times New Roman" w:hAnsi="Times New Roman"/>
                <w:b/>
                <w:sz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359"/>
        </w:trPr>
        <w:tc>
          <w:tcPr>
            <w:tcW w:w="2564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 и подготовка к реализации хлебобулочных изделий сложного приготовления и праздничного хлеба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276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Ассортимент сложных хлебобулочных изделий и праздничного хлеба.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Технологические этапы приготовления сложных хлебобулочных изделий и праздничного хлеба.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сдобного теста на опаре,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безопарного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теста из различных видов муки на дрожжах и закваске.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 приготовления пресного теста для отделки, слоеного дрожжевого теста.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 теста. Выявление дефектов теста и способы их устранения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61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сдобных хлебобулочных изделий.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4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/>
              <w:rPr>
                <w:color w:val="000000"/>
                <w:sz w:val="27"/>
                <w:szCs w:val="27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формования штучных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многопорционных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изделий из различных видов теста, температурный режим выпечки.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</w:r>
            <w:r>
              <w:rPr>
                <w:color w:val="000000"/>
                <w:sz w:val="27"/>
                <w:szCs w:val="27"/>
              </w:rPr>
              <w:t xml:space="preserve">Органолептические способы определения степени готовности сложных хлебобулочных изделий и праздничного хлеба.</w:t>
            </w: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21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праздничного хлеба. Способы формования, температурный режим выпечки.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243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 сложных сдобных хлебобулочных изделий и праздничного хлеба, правила их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Техника и варианты оформления сложных хлебобулочных изделий и праздничного хлеба.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 хлебобулочных изделий и праздничного хлеба.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tabs>
                <w:tab w:val="left" w:pos="370" w:leader="none"/>
                <w:tab w:val="left" w:pos="557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24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№3.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Адаптация, разработка рецептур сдобных хлебобулочных изделий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Адаптация, разработка рецептур праздничного хлеба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Расчет упека, припека и выхода готовых сложных хлебобулочных изделий и праздничного хлеба.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3.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сложных сдобных хлебобулочных изделий.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4.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праздничного хлеба.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мучных кондитерских изделий сложного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19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Ассортимент, актуальные направления в приготовлении сложных мучных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  <w:outlineLvl w:val="1"/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Классификация 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бездрожжевого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теста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,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способы его разрыхления. Процессы, происходящие при выпекании полуфабрикатов.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бездрожжевого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бисквитного теста и  полуфабрикатов из него (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«Джоконда», бисквита   шоколадно-миндального).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Дефекты и причины их возникновения.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песочного, воздушного теста и полуфабрикатов из них («Меренга», «Бризе»,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Бретон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  <w:outlineLvl w:val="1"/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блинчатого, вафельного, заварного теста и полуфабрикатов их них.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миндального, пряничного,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крошкового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теста и полуфабрикатов из них. 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слоеного  теста и полуфабрикатов из них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Фило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«Кора»).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Технология приготовления  сахарного,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тюлипного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теста, теста на основе промышленных смесей и полуфабрикатов из них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Женоаз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Требование к качеству, дефекты и причины их возникновения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r/>
            <w:r/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Приготовление, рецептуры полуфабрикатов на основе промышленных смесей.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  <w:outlineLvl w:val="1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и сроки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2"/>
            <w:tcW w:w="24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3"/>
            <w:tcW w:w="2933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сложных 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Расчет однофазных и многофазных рецептур на сложные мучные кондитерские изделия.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2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5.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мучных кондитерских изделий сложного ассортимента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>
              <w:rPr>
                <w:color w:val="000000"/>
                <w:sz w:val="27"/>
                <w:szCs w:val="27"/>
              </w:rPr>
              <w:t xml:space="preserve">в </w:t>
            </w:r>
            <w:r>
              <w:rPr>
                <w:color w:val="000000"/>
                <w:sz w:val="27"/>
                <w:szCs w:val="27"/>
              </w:rPr>
              <w:t xml:space="preserve">т.ч</w:t>
            </w:r>
            <w:r>
              <w:rPr>
                <w:color w:val="000000"/>
                <w:sz w:val="27"/>
                <w:szCs w:val="27"/>
              </w:rPr>
              <w:t xml:space="preserve">. региональных, авторских, брендовых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2.4.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Приготовление, подготовка к реализации пирожных и тортов сложного ассортимента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18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Ассортимент  и классификация пирожных и тортов сложного ассортимента, в том числе фирменных, авторских, региональных.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Calibri"/>
                <w:sz w:val="24"/>
                <w:szCs w:val="24"/>
              </w:rPr>
            </w:pPr>
            <w:r>
              <w:rPr>
                <w:rFonts w:ascii="Times New Roman" w:hAnsi="Times New Roman" w:eastAsia="Calibri"/>
                <w:sz w:val="24"/>
                <w:szCs w:val="24"/>
              </w:rPr>
              <w:t xml:space="preserve">Особенности в приготовлении и оформлении праздничных тортов.</w:t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  <w:r>
              <w:rPr>
                <w:rFonts w:ascii="Times New Roman" w:hAnsi="Times New Roman" w:eastAsia="Calibri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r/>
            <w:r/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Рецептуры, технология приготовления пирожных из различных видов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Режимы выпечки полуфабрикатов из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Рецептуры, технология приготовления тортов из различных видов теста. Режимы выпечки полуфабрикатов из теста.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Комбинирование, актуальные сочетания различных видов теста и отделочных полуфабрикатов для приготовления мелкоштучных пирожных (птифур) и праздничных тортов.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Техники и варианты оформления.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Органолептические способы определения степени готовности.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качества.  Хранение сложных мучных кондитерских изделий.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r/>
            <w:r/>
          </w:p>
        </w:tc>
        <w:tc>
          <w:tcPr>
            <w:tcW w:w="2891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</w:t>
            </w:r>
            <w:r>
              <w:rPr>
                <w:rFonts w:ascii="Times New Roman" w:hAnsi="Times New Roman" w:eastAsia="Calibri"/>
                <w:sz w:val="24"/>
                <w:szCs w:val="24"/>
              </w:rPr>
              <w:t xml:space="preserve"> праздничных тортов, пирожных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Требования к упаковке (на вынос), подготовке к транспортированию.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5"/>
            <w:shd w:val="clear" w:color="auto" w:fill="d9d9d9" w:themeFill="background1" w:themeFillShade="D9"/>
            <w:tcW w:w="3176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и лабораторных работ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shd w:val="clear" w:color="auto" w:fill="d9d9d9" w:themeFill="background1" w:themeFillShade="D9"/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</w:r>
          </w:p>
        </w:tc>
      </w:tr>
      <w:tr>
        <w:tblPrEx/>
        <w:trPr>
          <w:trHeight w:val="184"/>
        </w:trPr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сырьевых ведомостей для приготовления сложных мучных кондитерских изделий и праздничных тортов.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1523" w:type="dxa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ПК 5.1., 5.6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ОК</w:t>
            </w:r>
            <w:r>
              <w:rPr>
                <w:rFonts w:ascii="Times New Roman" w:hAnsi="Times New Roman"/>
                <w:i/>
              </w:rPr>
              <w:t xml:space="preserve"> 01-09</w:t>
            </w:r>
            <w:r>
              <w:rPr>
                <w:rFonts w:ascii="Times New Roman" w:hAnsi="Times New Roman"/>
                <w:i/>
              </w:rPr>
            </w:r>
            <w:r>
              <w:rPr>
                <w:rFonts w:ascii="Times New Roman" w:hAnsi="Times New Roman"/>
                <w:i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6.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детских праздничных тортов.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№7.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юбилейных праздничных тортов сложного ассортимента.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8.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свадебных праздничных тортов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сложного ассортимента.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Разработка технико – технологических карт на сложные мучные кондитерские изделия и праздничные торты.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сырьевых ведомостей для приготовления мелкоштучных кондитерских изделий.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9.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мелкоштучных кондитерских изделий («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Маффины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»,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Бисконти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пирожное «Марципановый банан»)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10.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Приготовление мелкоштучных кондитерских изделий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«Шоколадный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капкейк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кремом ганаш», «шоколадный кекс с жидкой начинкой», «Миндально – апельсиновый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твиль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»)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Разработка технико – технологических карт мелкоштучные кондитерские изделия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занятие № 11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/>
            <w:r>
              <w:rPr>
                <w:rFonts w:ascii="Times New Roman" w:hAnsi="Times New Roman"/>
                <w:sz w:val="24"/>
                <w:szCs w:val="24"/>
              </w:rPr>
              <w:t xml:space="preserve">Способы подачи праздничных тортов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W w:w="833" w:type="pct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gridSpan w:val="4"/>
            <w:tcW w:w="28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W w:w="2891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Лабораторная работа № 11.</w:t>
            </w:r>
            <w:r>
              <w:rPr>
                <w:color w:val="000000"/>
                <w:sz w:val="27"/>
                <w:szCs w:val="27"/>
              </w:rPr>
              <w:t xml:space="preserve"> Приготовление, оформление пирожных и тортов, в </w:t>
            </w:r>
            <w:r>
              <w:rPr>
                <w:color w:val="000000"/>
                <w:sz w:val="27"/>
                <w:szCs w:val="27"/>
              </w:rPr>
              <w:t xml:space="preserve">т.ч</w:t>
            </w:r>
            <w:r>
              <w:rPr>
                <w:color w:val="000000"/>
                <w:sz w:val="27"/>
                <w:szCs w:val="27"/>
              </w:rPr>
              <w:t xml:space="preserve">. региональных, авторских, брендовых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5" w:type="pct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gridSpan w:val="6"/>
            <w:tcW w:w="4009" w:type="pct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Самостоятельная работа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1.Систематическая проработка конспектов учебных занятий, учебной и специальной литературы (по вопросам, составленным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преподавателем).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2. Работа с нормативной и технологической документацией, справочной литературой.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3. Подготовка к лабораторным и практическим занятиям с использованием методических рекомендаций преподавателя,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учебной и справочной литературы, нормативных документов.</w:t>
            </w:r>
            <w:r/>
          </w:p>
          <w:p>
            <w:pPr>
              <w:ind w:left="0" w:right="0" w:firstLine="0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4. 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5. Сбор информации, в том числе с использованием Интернет о 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овых видах технологического оборудования, инвентаря, инструментов и подготовка сообщений и презентаций. 6. Освоение учебного материала темы с помощью ЭОР. 7. Анализ производственных ситуаций, решение производственных задач. 8. Подготовка компьютерных презе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нтаций по темам раздела.</w:t>
            </w:r>
            <w:r/>
          </w:p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  <w:highlight w:val="none"/>
              </w:rPr>
            </w:r>
          </w:p>
        </w:tc>
        <w:tc>
          <w:tcPr>
            <w:tcW w:w="496" w:type="pct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Курсовая работа по ПМ.05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Ассортимент сложных хлебобулочных, мучных кондитерских изделий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работы мучного цеха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 Санитарные требования к содержанию цеха.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Требования к сырью и подготовка к производству сложных хлебобулочных, мучных кондитерских изделий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качеству и безопасности сложных хлебобулочных, мучных кондитерских изделий.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Технология приготовления сложных хлебобулочных, мучных кондитерских изделий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Оценка качества готовых хлебобулочных, мучных кондитерских  изделий.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91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технологических карт на сложные хлебобулочные, мучные кондитерские изделия.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pStyle w:val="1011"/>
              <w:numPr>
                <w:ilvl w:val="0"/>
                <w:numId w:val="42"/>
              </w:numPr>
              <w:rPr>
                <w:color w:val="000000"/>
              </w:rPr>
            </w:pPr>
            <w:r>
              <w:rPr>
                <w:color w:val="000000"/>
              </w:rPr>
              <w:t xml:space="preserve">Составление калькуляционных карт.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pStyle w:val="991"/>
              <w:numPr>
                <w:ilvl w:val="0"/>
                <w:numId w:val="42"/>
              </w:num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Составление технологических схем.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  <w:p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Учебная практика по ПМ.05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работ: 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заявок на продукты, расходные материалы, необходимые для приготовления хлебобулочных,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мучных кондитерских изделий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соответствия количества и качества поступивших продуктов накладной.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Выбор, подготовка дополнительных ингредиентов с учетом их сочетаемости с основным продуктом.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и применение методов приготовления хлебобулочных, мучных кондитерских изделий в зависимости от вида и кулинарных свойств используемого сырья, продуктов и полуфабрикатов, требований рецептуры, последовательности приготовления, особенностей заказа.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Приготовление, 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сложного ассортимента, в том числе авторских, брендовых (фирменных) региональных, с учетом рационального расхода сырья, продуктов, полуфабрикатов, соблюдения режимов приготовления, стандартов чистоты, обеспечения безопасности готовой продукции.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правилами техники безопасности пожаробезопасности, охраны труда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Оценка качества готовых хлебобулочных, мучных кондитерских изделий перед отпуском, упаковкой на вынос.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с учетом использования отделочных полуфабрикатов. 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Творческое оформление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и подготовка к реализации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Охлаждение и замораживание некоторых готовых полуфабрикатов для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с учетом требований к безопасности пищевых продуктов.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Хранение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 с учетом требований по безопасности, соблюдения режимов хранения.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 w:line="240" w:lineRule="auto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Выбор контейнеров, упаковочных материалов,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порционирование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 (комплектование), эстетичная упаковка готовых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на вынос и для транспортирования.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Расчет стоимости хлебобулочных, мучных кондитерских изделий.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Консультирование потребителей, оказание им помощи в выборе хлебобулочных, мучных кондитерских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изделий,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  <w:p>
            <w:pPr>
              <w:pStyle w:val="991"/>
              <w:numPr>
                <w:ilvl w:val="0"/>
                <w:numId w:val="16"/>
              </w:numPr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текущей уборки рабочего места повара в соответствии с инструкциями и регламентами, стандартами чистоты: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  <w:p>
            <w:pPr>
              <w:pStyle w:val="991"/>
              <w:jc w:val="both"/>
              <w:spacing w:after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72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i/>
              </w:rPr>
              <w:t xml:space="preserve">ПК 5.1-5.5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Производственная практика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(концентрированная) по ПМ. 05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Виды работ: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пожаробезопасности, охраны труда).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задания (заказа) по приготовлению хлебобулочных, мучных кондитерских изделия сложного ассортимента в соответствии заданием (заказом)  производственной программой кондитерского цеха ресторана.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Style w:val="992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к реализации (презентации) готовых хлебобулочных, мучных кондитерских изделий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порционирования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 (комплектования), сервировки и творческого оформления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 с учетом соблюдения выхода изделий, рационального использования ресурсов, соблюдения требований по безопасности готовой продукции.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Упаковка готовых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хлебобулочных, мучных кондитерских изделий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 на вынос и для транспортирования.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хранения готовых хлебобулочных, мучных кондитерских изделий с учетом соблюдения требований по безопасности продукции.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Подготовка готовой продукции, полуфабрикатов высокой степени готовности к хранению (охлаждение и </w:t>
            </w:r>
            <w:r>
              <w:rPr>
                <w:rStyle w:val="992"/>
                <w:rFonts w:ascii="Times New Roman" w:hAnsi="Times New Roman" w:cs="Times New Roman"/>
                <w:sz w:val="24"/>
                <w:szCs w:val="24"/>
              </w:rPr>
              <w:t xml:space="preserve">замораживание готовой продукции с учетом обеспечения ее безопасности), организация хранения.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порционирования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условий хранения на раздаче и т.д.).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991"/>
              <w:numPr>
                <w:ilvl w:val="0"/>
                <w:numId w:val="17"/>
              </w:numPr>
              <w:jc w:val="bot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Консульт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ирование потребителей, оказание им помощи в выборе хлебобулочных, мучных кондитерских изделий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108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i/>
              </w:rPr>
              <w:t xml:space="preserve">ПК 5.1-5.5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Консультации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gridSpan w:val="6"/>
            <w:tcW w:w="4009" w:type="pc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r>
          </w:p>
        </w:tc>
        <w:tc>
          <w:tcPr>
            <w:tcW w:w="496" w:type="pct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422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495" w:type="pc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>
          <w:footnotePr/>
          <w:endnotePr/>
          <w:type w:val="nextPage"/>
          <w:pgSz w:w="16840" w:h="11907" w:orient="landscape"/>
          <w:pgMar w:top="851" w:right="680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  УСЛОВИЯ РЕАЛИЗАЦИИ ПРОГРАММЫ 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3.1. Материально-техническое обеспечение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firstLine="720"/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Реализация программы профессионального модуля предполагает наличие учебного кабинета Технологии кондитерского производства; Учебного кондитерского цеха, лаборатории на 15 мест.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keepLines/>
        <w:spacing w:after="0" w:line="240" w:lineRule="auto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Оборудование учебного кабинета и рабочих мест кабинета.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-доска учебная;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-рабочее место для преподавателя;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-столы, стулья для студентов на 25-30 обучающихся;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Технические средства обучения: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ind w:firstLine="709"/>
        <w:keepLines/>
        <w:spacing w:after="0" w:line="240" w:lineRule="auto"/>
        <w:widowControl w:val="off"/>
        <w:tabs>
          <w:tab w:val="left" w:pos="284" w:leader="non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компьютер, средства </w:t>
      </w:r>
      <w:r>
        <w:rPr>
          <w:rFonts w:ascii="Times New Roman" w:hAnsi="Times New Roman"/>
          <w:sz w:val="24"/>
          <w:szCs w:val="24"/>
        </w:rPr>
        <w:t xml:space="preserve">аудиовизуализации</w:t>
      </w:r>
      <w:r>
        <w:rPr>
          <w:rFonts w:ascii="Times New Roman" w:hAnsi="Times New Roman"/>
          <w:sz w:val="24"/>
          <w:szCs w:val="24"/>
        </w:rPr>
        <w:t xml:space="preserve">, наглядные пособия (натуральные образцы продуктов, муляжи, плакаты, </w:t>
      </w:r>
      <w:r>
        <w:rPr>
          <w:rFonts w:ascii="Times New Roman" w:hAnsi="Times New Roman"/>
          <w:sz w:val="24"/>
          <w:szCs w:val="24"/>
          <w:lang w:val="en-US"/>
        </w:rPr>
        <w:t xml:space="preserve">DVD</w:t>
      </w:r>
      <w:r>
        <w:rPr>
          <w:rFonts w:ascii="Times New Roman" w:hAnsi="Times New Roman"/>
          <w:sz w:val="24"/>
          <w:szCs w:val="24"/>
        </w:rPr>
        <w:t xml:space="preserve"> фильмы, мультимедийные пособия).</w: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center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Оборудование </w:t>
      </w:r>
      <w:r>
        <w:rPr>
          <w:rFonts w:ascii="Times New Roman" w:hAnsi="Times New Roman"/>
          <w:b/>
          <w:sz w:val="24"/>
          <w:szCs w:val="24"/>
        </w:rPr>
        <w:t xml:space="preserve">учебного кондитерского цеха (лаборатории)</w:t>
      </w:r>
      <w:r>
        <w:rPr>
          <w:rFonts w:ascii="Times New Roman" w:hAnsi="Times New Roman"/>
          <w:sz w:val="24"/>
          <w:szCs w:val="24"/>
        </w:rPr>
        <w:t xml:space="preserve">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Весоизмерительное</w:t>
      </w:r>
      <w:r>
        <w:rPr>
          <w:rFonts w:ascii="Times New Roman" w:hAnsi="Times New Roman"/>
          <w:sz w:val="24"/>
          <w:szCs w:val="24"/>
          <w:u w:val="single"/>
        </w:rPr>
        <w:t xml:space="preserve"> оборудование:</w:t>
      </w: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весы настольные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электронные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Холодильное оборудование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холодильный,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шоковой заморозки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Оборудование для упаковки, оценки качества и безопасности пищевых продуктов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овоскоп,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машина для вакуумной упаковки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Механическое оборудование:</w:t>
      </w:r>
      <w:r>
        <w:rPr>
          <w:rFonts w:ascii="Times New Roman" w:hAnsi="Times New Roman" w:eastAsia="Arial Unicode MS"/>
          <w:sz w:val="24"/>
          <w:szCs w:val="24"/>
          <w:u w:val="single"/>
        </w:rPr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тестомес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взбивальная</w:t>
      </w:r>
      <w:r>
        <w:rPr>
          <w:rFonts w:ascii="Times New Roman" w:hAnsi="Times New Roman"/>
          <w:sz w:val="24"/>
          <w:szCs w:val="24"/>
        </w:rPr>
        <w:t xml:space="preserve"> машина,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миксер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мясорубка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Тепловое оборудование:</w:t>
      </w:r>
      <w:r>
        <w:rPr>
          <w:rFonts w:ascii="Times New Roman" w:hAnsi="Times New Roman" w:eastAsia="Arial Unicode MS"/>
          <w:sz w:val="24"/>
          <w:szCs w:val="24"/>
          <w:u w:val="single"/>
        </w:rPr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шкаф для </w:t>
      </w:r>
      <w:r>
        <w:rPr>
          <w:rFonts w:ascii="Times New Roman" w:hAnsi="Times New Roman" w:eastAsia="Arial Unicode MS"/>
          <w:sz w:val="24"/>
          <w:szCs w:val="24"/>
        </w:rPr>
        <w:t xml:space="preserve">расстойки</w:t>
      </w:r>
      <w:r>
        <w:rPr>
          <w:rFonts w:ascii="Times New Roman" w:hAnsi="Times New Roman" w:eastAsia="Arial Unicode MS"/>
          <w:sz w:val="24"/>
          <w:szCs w:val="24"/>
        </w:rPr>
        <w:t xml:space="preserve"> теста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жарочный шкаф 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конвекционная печь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   фритюрница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гриль 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jc w:val="both"/>
        <w:spacing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микроволновая печь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Вспомогательное оборудование:</w:t>
      </w:r>
      <w:r>
        <w:rPr>
          <w:rFonts w:ascii="Times New Roman" w:hAnsi="Times New Roman"/>
          <w:sz w:val="24"/>
          <w:szCs w:val="24"/>
          <w:u w:val="single"/>
        </w:rPr>
      </w:r>
      <w:r>
        <w:rPr>
          <w:rFonts w:ascii="Times New Roman" w:hAnsi="Times New Roman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стеллаж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полки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производственный стол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моечная ванна двухсекционная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производственный стол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Arial Unicode MS"/>
          <w:sz w:val="24"/>
          <w:szCs w:val="24"/>
        </w:rPr>
        <w:t xml:space="preserve">с деревянной поверхностью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полка для специй, эссенций, красителей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моечная ванна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газовая горелка (для </w:t>
      </w:r>
      <w:r>
        <w:rPr>
          <w:rFonts w:ascii="Times New Roman" w:hAnsi="Times New Roman"/>
          <w:sz w:val="24"/>
          <w:szCs w:val="24"/>
        </w:rPr>
        <w:t xml:space="preserve">карамелизации</w:t>
      </w:r>
      <w:r>
        <w:rPr>
          <w:rFonts w:ascii="Times New Roman" w:hAnsi="Times New Roman"/>
          <w:sz w:val="24"/>
          <w:szCs w:val="24"/>
        </w:rPr>
        <w:t xml:space="preserve">)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для конфет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формы для  шоколадных фигур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набор </w:t>
      </w:r>
      <w:r>
        <w:rPr>
          <w:rFonts w:ascii="Times New Roman" w:hAnsi="Times New Roman"/>
          <w:sz w:val="24"/>
          <w:szCs w:val="24"/>
        </w:rPr>
        <w:t xml:space="preserve">молдов</w:t>
      </w:r>
      <w:r>
        <w:rPr>
          <w:rFonts w:ascii="Times New Roman" w:hAnsi="Times New Roman"/>
          <w:sz w:val="24"/>
          <w:szCs w:val="24"/>
        </w:rPr>
        <w:t xml:space="preserve"> для мастики, карамели, шоколада,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Инвентарь, инструменты, кухонная посуда</w:t>
      </w:r>
      <w:r>
        <w:rPr>
          <w:rFonts w:ascii="Times New Roman" w:hAnsi="Times New Roman" w:eastAsia="Arial Unicode MS"/>
          <w:sz w:val="24"/>
          <w:szCs w:val="24"/>
        </w:rPr>
        <w:t xml:space="preserve">: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кастрюли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функциональные емкости из нержавеющей стали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венчик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лопатка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сито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скребок пластиковый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eastAsia="Arial Unicode MS"/>
          <w:sz w:val="24"/>
          <w:szCs w:val="24"/>
        </w:rPr>
        <w:t xml:space="preserve">мерный инвентарь 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набор разделочных досок (деревянных или из пластика с маркировкой «КЦ»),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набор мерных ложек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совки для сыпучих продуктов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корзина для мусора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скалки деревянные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скалки рифлёные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резцы (фигурные) для теста и марципана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вырубки (выемки) для печенья, пряников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листы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формы различные (металлические, силиконовые или бумажные) для штучных кексов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круглые разъемные формы для тортов, пирогов d 20, 22, 24, 26, 28 см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 пилка (300 мм),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паллета (шпатели с изгибом от 18 см и без изгиба до 30 см)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мешки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насадки для кондитерских мешков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ножницы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гребенки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терки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трафареты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кисти силиконовые.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силиконовые коврики для выпекания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прихватки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перчатки термостойкие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гастроемкости</w:t>
      </w:r>
      <w:r>
        <w:rPr>
          <w:rFonts w:ascii="Times New Roman" w:hAnsi="Times New Roman" w:eastAsia="Arial Unicode MS"/>
          <w:sz w:val="24"/>
          <w:szCs w:val="24"/>
        </w:rPr>
        <w:t xml:space="preserve"> или контейнеры для выпеченных изделий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дуршлаг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термометр инфракрасный</w:t>
      </w:r>
      <w:r>
        <w:rPr>
          <w:rFonts w:ascii="Times New Roman" w:hAnsi="Times New Roman" w:eastAsia="Arial Unicode MS"/>
          <w:sz w:val="24"/>
          <w:szCs w:val="24"/>
          <w:u w:val="single"/>
        </w:rPr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делитель торта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подносы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подставки для тортов вращающиеся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газовая горелка</w:t>
      </w:r>
      <w:r>
        <w:rPr>
          <w:rFonts w:ascii="Times New Roman" w:hAnsi="Times New Roman" w:eastAsia="Arial Unicode MS"/>
          <w:sz w:val="24"/>
          <w:szCs w:val="24"/>
          <w:u w:val="single"/>
        </w:rPr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  <w:u w:val="single"/>
        </w:rPr>
      </w:pPr>
      <w:r>
        <w:rPr>
          <w:rFonts w:ascii="Times New Roman" w:hAnsi="Times New Roman" w:eastAsia="Arial Unicode MS"/>
          <w:sz w:val="24"/>
          <w:szCs w:val="24"/>
          <w:u w:val="single"/>
        </w:rPr>
        <w:t xml:space="preserve">Расходные материалы:</w:t>
      </w:r>
      <w:r>
        <w:rPr>
          <w:rFonts w:ascii="Times New Roman" w:hAnsi="Times New Roman" w:eastAsia="Arial Unicode MS"/>
          <w:sz w:val="24"/>
          <w:szCs w:val="24"/>
          <w:u w:val="single"/>
        </w:rPr>
      </w:r>
      <w:r>
        <w:rPr>
          <w:rFonts w:ascii="Times New Roman" w:hAnsi="Times New Roman" w:eastAsia="Arial Unicode MS"/>
          <w:sz w:val="24"/>
          <w:szCs w:val="24"/>
          <w:u w:val="single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бумага пергаментная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кондитерские мешки полимерные (одноразовые)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упаковочные материалы (бумажные пакеты, плёночный материал, </w:t>
      </w:r>
      <w:r>
        <w:rPr>
          <w:rFonts w:ascii="Times New Roman" w:hAnsi="Times New Roman" w:eastAsia="Arial Unicode MS"/>
          <w:sz w:val="24"/>
          <w:szCs w:val="24"/>
        </w:rPr>
        <w:t xml:space="preserve">термоусадочную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обёрточную плёнку, полимерные пакеты, прозрачные коробки-контейнеры из пластика </w:t>
      </w:r>
      <w:r>
        <w:rPr>
          <w:rFonts w:ascii="Times New Roman" w:hAnsi="Times New Roman" w:eastAsia="Arial Unicode MS"/>
          <w:sz w:val="24"/>
          <w:szCs w:val="24"/>
        </w:rPr>
        <w:t xml:space="preserve">с</w:t>
      </w:r>
      <w:r>
        <w:rPr>
          <w:rFonts w:ascii="Times New Roman" w:hAnsi="Times New Roman" w:eastAsia="Arial Unicode MS"/>
          <w:sz w:val="24"/>
          <w:szCs w:val="24"/>
        </w:rPr>
        <w:t xml:space="preserve"> 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194"/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крышками, специальные картонные коробки и др.)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spacing w:after="0" w:line="240" w:lineRule="auto"/>
        <w:rPr>
          <w:rFonts w:ascii="Times New Roman" w:hAnsi="Times New Roman" w:eastAsia="Arial Unicode MS"/>
          <w:sz w:val="24"/>
          <w:szCs w:val="24"/>
        </w:rPr>
      </w:pPr>
      <w:r>
        <w:rPr>
          <w:rFonts w:ascii="Times New Roman" w:hAnsi="Times New Roman" w:eastAsia="Arial Unicode MS"/>
          <w:sz w:val="24"/>
          <w:szCs w:val="24"/>
        </w:rPr>
        <w:t xml:space="preserve">   </w:t>
      </w:r>
      <w:r>
        <w:rPr>
          <w:rFonts w:ascii="Times New Roman" w:hAnsi="Times New Roman" w:eastAsia="Arial Unicode MS"/>
          <w:sz w:val="24"/>
          <w:szCs w:val="24"/>
        </w:rPr>
      </w:r>
      <w:r>
        <w:rPr>
          <w:rFonts w:ascii="Times New Roman" w:hAnsi="Times New Roman" w:eastAsia="Arial Unicode MS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модуля включает в себя  обязательную производственную практику, которая проводится на базе  организаций питания.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9"/>
        <w:jc w:val="both"/>
        <w:spacing w:after="0"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3.2. Информационное обеспечение обучения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Знаниум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» и др., к которым имеется подписка на текущий учебный год.</w:t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 В случае времен</w:t>
      </w:r>
      <w:r>
        <w:rPr>
          <w:rFonts w:ascii="Times New Roman" w:hAnsi="Times New Roman" w:eastAsia="Droid Sans Fallback"/>
          <w:bCs/>
          <w:sz w:val="24"/>
          <w:szCs w:val="24"/>
        </w:rPr>
        <w:t xml:space="preserve">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 к ресурсам электронно-библиотечной системы (электронной библиотеке)  для каждого обучающегося.</w:t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  <w:tab w:val="left" w:pos="413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ab/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Режим доступа:</w:t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/>
      <w:hyperlink r:id="rId14" w:tooltip="http://znanium.com/" w:history="1">
        <w:r>
          <w:rPr>
            <w:rStyle w:val="1003"/>
            <w:rFonts w:ascii="Times New Roman" w:hAnsi="Times New Roman" w:eastAsia="Droid Sans Fallback"/>
            <w:bCs/>
            <w:sz w:val="24"/>
            <w:szCs w:val="24"/>
          </w:rPr>
          <w:t xml:space="preserve">http://znanium.com/</w:t>
        </w:r>
      </w:hyperlink>
      <w:r>
        <w:rPr>
          <w:rFonts w:ascii="Times New Roman" w:hAnsi="Times New Roman" w:eastAsia="Droid Sans Fallback"/>
          <w:bCs/>
          <w:sz w:val="24"/>
          <w:szCs w:val="24"/>
        </w:rPr>
        <w:t xml:space="preserve">  </w:t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eastAsia="Droid Sans Fallback"/>
          <w:bCs/>
          <w:sz w:val="24"/>
          <w:szCs w:val="24"/>
        </w:rPr>
      </w:pPr>
      <w:r/>
      <w:hyperlink r:id="rId15" w:tooltip="https://www.prlib.ru/" w:history="1">
        <w:r>
          <w:rPr>
            <w:rStyle w:val="1003"/>
            <w:rFonts w:ascii="Times New Roman" w:hAnsi="Times New Roman" w:eastAsia="Droid Sans Fallback"/>
            <w:bCs/>
            <w:sz w:val="24"/>
            <w:szCs w:val="24"/>
          </w:rPr>
          <w:t xml:space="preserve">https://www.prlib.ru/</w:t>
        </w:r>
      </w:hyperlink>
      <w:r>
        <w:rPr>
          <w:rFonts w:ascii="Times New Roman" w:hAnsi="Times New Roman" w:eastAsia="Droid Sans Fallback"/>
          <w:bCs/>
          <w:sz w:val="24"/>
          <w:szCs w:val="24"/>
        </w:rPr>
        <w:t xml:space="preserve"> </w:t>
      </w:r>
      <w:r>
        <w:rPr>
          <w:rFonts w:ascii="Times New Roman" w:hAnsi="Times New Roman" w:eastAsia="Droid Sans Fallback"/>
          <w:bCs/>
          <w:sz w:val="24"/>
          <w:szCs w:val="24"/>
        </w:rPr>
      </w:r>
      <w:r>
        <w:rPr>
          <w:rFonts w:ascii="Times New Roman" w:hAnsi="Times New Roman" w:eastAsia="Droid Sans Fallback"/>
          <w:bCs/>
          <w:sz w:val="24"/>
          <w:szCs w:val="24"/>
        </w:rPr>
      </w:r>
    </w:p>
    <w:p>
      <w:pPr>
        <w:ind w:firstLine="567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b/>
          <w:sz w:val="24"/>
          <w:szCs w:val="24"/>
          <w:lang w:eastAsia="zh-CN"/>
        </w:rPr>
      </w:pPr>
      <w:r>
        <w:rPr>
          <w:rFonts w:ascii="Times New Roman" w:hAnsi="Times New Roman" w:eastAsia="Droid Sans Fallback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zh-CN"/>
        </w:rPr>
      </w:r>
      <w:r>
        <w:rPr>
          <w:rFonts w:ascii="Times New Roman" w:hAnsi="Times New Roman"/>
          <w:b/>
          <w:sz w:val="24"/>
          <w:szCs w:val="24"/>
          <w:lang w:eastAsia="zh-CN"/>
        </w:rPr>
      </w:r>
    </w:p>
    <w:p>
      <w:pPr>
        <w:ind w:left="142"/>
        <w:spacing w:after="0" w:line="240" w:lineRule="auto"/>
        <w:rPr>
          <w:rFonts w:ascii="Times New Roman" w:hAnsi="Times New Roman"/>
          <w:b/>
          <w:i/>
          <w:sz w:val="24"/>
          <w:szCs w:val="24"/>
          <w:lang w:eastAsia="zh-CN"/>
        </w:rPr>
      </w:pPr>
      <w:r>
        <w:rPr>
          <w:rFonts w:ascii="Times New Roman" w:hAnsi="Times New Roman"/>
          <w:b/>
          <w:i/>
          <w:sz w:val="24"/>
          <w:szCs w:val="24"/>
          <w:lang w:eastAsia="zh-CN"/>
        </w:rPr>
        <w:t xml:space="preserve">Основные источники</w:t>
      </w:r>
      <w:r>
        <w:rPr>
          <w:rFonts w:ascii="Times New Roman" w:hAnsi="Times New Roman"/>
          <w:b/>
          <w:i/>
          <w:sz w:val="24"/>
          <w:szCs w:val="24"/>
          <w:lang w:eastAsia="zh-CN"/>
        </w:rPr>
      </w:r>
      <w:r>
        <w:rPr>
          <w:rFonts w:ascii="Times New Roman" w:hAnsi="Times New Roman"/>
          <w:b/>
          <w:i/>
          <w:sz w:val="24"/>
          <w:szCs w:val="24"/>
          <w:lang w:eastAsia="zh-CN"/>
        </w:rPr>
      </w:r>
    </w:p>
    <w:p>
      <w:pPr>
        <w:numPr>
          <w:ilvl w:val="0"/>
          <w:numId w:val="44"/>
        </w:num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  <w:t xml:space="preserve">Бурчакова</w:t>
      </w:r>
      <w:r>
        <w:rPr>
          <w:rFonts w:ascii="Times New Roman" w:hAnsi="Times New Roman"/>
          <w:sz w:val="24"/>
          <w:szCs w:val="24"/>
          <w:lang w:eastAsia="zh-CN"/>
        </w:rPr>
        <w:t xml:space="preserve"> И.Ю. Организация и ведение процессов приго</w:t>
      </w:r>
      <w:r>
        <w:rPr>
          <w:rFonts w:ascii="Times New Roman" w:hAnsi="Times New Roman"/>
          <w:sz w:val="24"/>
          <w:szCs w:val="24"/>
          <w:lang w:eastAsia="zh-CN"/>
        </w:rPr>
        <w:t xml:space="preserve">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 : учебник для студ. Учреждений сред. проф. Образования / И.Ю. </w:t>
      </w:r>
      <w:r>
        <w:rPr>
          <w:rFonts w:ascii="Times New Roman" w:hAnsi="Times New Roman"/>
          <w:sz w:val="24"/>
          <w:szCs w:val="24"/>
          <w:lang w:eastAsia="zh-CN"/>
        </w:rPr>
        <w:t xml:space="preserve">Бурчакова</w:t>
      </w:r>
      <w:r>
        <w:rPr>
          <w:rFonts w:ascii="Times New Roman" w:hAnsi="Times New Roman"/>
          <w:sz w:val="24"/>
          <w:szCs w:val="24"/>
          <w:lang w:eastAsia="zh-CN"/>
        </w:rPr>
        <w:t xml:space="preserve">, С.В. Ермилова. – 3-е </w:t>
      </w:r>
      <w:r>
        <w:rPr>
          <w:rFonts w:ascii="Times New Roman" w:hAnsi="Times New Roman"/>
          <w:sz w:val="24"/>
          <w:szCs w:val="24"/>
          <w:lang w:eastAsia="zh-CN"/>
        </w:rPr>
        <w:t xml:space="preserve">изд</w:t>
      </w:r>
      <w:r>
        <w:rPr>
          <w:rFonts w:ascii="Times New Roman" w:hAnsi="Times New Roman"/>
          <w:sz w:val="24"/>
          <w:szCs w:val="24"/>
          <w:lang w:eastAsia="zh-CN"/>
        </w:rPr>
        <w:t xml:space="preserve">, стер. – М.</w:t>
      </w:r>
      <w:r>
        <w:rPr>
          <w:rFonts w:ascii="Times New Roman" w:hAnsi="Times New Roman"/>
          <w:sz w:val="24"/>
          <w:szCs w:val="24"/>
          <w:lang w:eastAsia="zh-CN"/>
        </w:rPr>
        <w:t xml:space="preserve"> :</w:t>
      </w:r>
      <w:r>
        <w:rPr>
          <w:rFonts w:ascii="Times New Roman" w:hAnsi="Times New Roman"/>
          <w:sz w:val="24"/>
          <w:szCs w:val="24"/>
          <w:lang w:eastAsia="zh-CN"/>
        </w:rPr>
        <w:t xml:space="preserve"> Издательский центр «Академия», 2018. – 384 с.</w:t>
      </w:r>
      <w:r>
        <w:rPr>
          <w:rFonts w:ascii="Times New Roman" w:hAnsi="Times New Roman"/>
          <w:sz w:val="24"/>
          <w:szCs w:val="24"/>
          <w:lang w:eastAsia="zh-CN"/>
        </w:rPr>
      </w:r>
      <w:r>
        <w:rPr>
          <w:rFonts w:ascii="Times New Roman" w:hAnsi="Times New Roman"/>
          <w:sz w:val="24"/>
          <w:szCs w:val="24"/>
          <w:lang w:eastAsia="zh-CN"/>
        </w:rPr>
      </w:r>
    </w:p>
    <w:p>
      <w:pPr>
        <w:numPr>
          <w:ilvl w:val="0"/>
          <w:numId w:val="44"/>
        </w:numPr>
        <w:contextualSpacing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/>
          <w:sz w:val="24"/>
          <w:szCs w:val="24"/>
          <w:lang w:eastAsia="zh-CN"/>
        </w:rPr>
      </w:r>
      <w:r>
        <w:rPr>
          <w:rFonts w:ascii="Times New Roman" w:hAnsi="Times New Roman"/>
          <w:sz w:val="24"/>
          <w:szCs w:val="24"/>
          <w:lang w:eastAsia="zh-CN"/>
        </w:rPr>
      </w:r>
      <w:r>
        <w:rPr>
          <w:rFonts w:ascii="Times New Roman" w:hAnsi="Times New Roman"/>
          <w:sz w:val="24"/>
          <w:szCs w:val="24"/>
          <w:lang w:eastAsia="zh-CN"/>
        </w:rPr>
      </w:r>
    </w:p>
    <w:p>
      <w:pPr>
        <w:spacing w:after="0" w:line="240" w:lineRule="auto"/>
        <w:rPr>
          <w:rFonts w:ascii="Times New Roman" w:hAnsi="Times New Roman"/>
          <w:b/>
          <w:bCs/>
          <w:i/>
          <w:sz w:val="24"/>
          <w:szCs w:val="20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Дополнительные источники:</w:t>
      </w:r>
      <w:r>
        <w:rPr>
          <w:rFonts w:ascii="Times New Roman" w:hAnsi="Times New Roman"/>
          <w:b/>
          <w:bCs/>
          <w:i/>
          <w:sz w:val="24"/>
          <w:szCs w:val="20"/>
        </w:rPr>
      </w:r>
      <w:r>
        <w:rPr>
          <w:rFonts w:ascii="Times New Roman" w:hAnsi="Times New Roman"/>
          <w:b/>
          <w:bCs/>
          <w:i/>
          <w:sz w:val="24"/>
          <w:szCs w:val="20"/>
        </w:rPr>
      </w:r>
    </w:p>
    <w:p>
      <w:pPr>
        <w:numPr>
          <w:ilvl w:val="0"/>
          <w:numId w:val="43"/>
        </w:numPr>
        <w:contextualSpacing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Артёмова</w:t>
      </w:r>
      <w:r>
        <w:rPr>
          <w:rFonts w:ascii="Times New Roman" w:hAnsi="Times New Roman"/>
          <w:bCs/>
          <w:sz w:val="24"/>
          <w:szCs w:val="24"/>
        </w:rPr>
        <w:t xml:space="preserve"> Е.Н. Основы технологии продукции общественного питания: </w:t>
      </w:r>
      <w:r>
        <w:rPr>
          <w:rFonts w:ascii="Times New Roman" w:hAnsi="Times New Roman"/>
          <w:bCs/>
          <w:sz w:val="24"/>
          <w:szCs w:val="24"/>
        </w:rPr>
        <w:t xml:space="preserve">учеб</w:t>
      </w:r>
      <w:r>
        <w:rPr>
          <w:rFonts w:ascii="Times New Roman" w:hAnsi="Times New Roman"/>
          <w:bCs/>
          <w:sz w:val="24"/>
          <w:szCs w:val="24"/>
        </w:rPr>
        <w:t xml:space="preserve">.п</w:t>
      </w:r>
      <w:r>
        <w:rPr>
          <w:rFonts w:ascii="Times New Roman" w:hAnsi="Times New Roman"/>
          <w:bCs/>
          <w:sz w:val="24"/>
          <w:szCs w:val="24"/>
        </w:rPr>
        <w:t xml:space="preserve">особие</w:t>
      </w:r>
      <w:r>
        <w:rPr>
          <w:rFonts w:ascii="Times New Roman" w:hAnsi="Times New Roman"/>
          <w:bCs/>
          <w:sz w:val="24"/>
          <w:szCs w:val="24"/>
        </w:rPr>
        <w:t xml:space="preserve"> для </w:t>
      </w:r>
      <w:r>
        <w:rPr>
          <w:rFonts w:ascii="Times New Roman" w:hAnsi="Times New Roman"/>
          <w:bCs/>
          <w:sz w:val="24"/>
          <w:szCs w:val="24"/>
        </w:rPr>
        <w:t xml:space="preserve">высш</w:t>
      </w:r>
      <w:r>
        <w:rPr>
          <w:rFonts w:ascii="Times New Roman" w:hAnsi="Times New Roman"/>
          <w:bCs/>
          <w:sz w:val="24"/>
          <w:szCs w:val="24"/>
        </w:rPr>
        <w:t xml:space="preserve">. учеб. заведений / </w:t>
      </w:r>
      <w:r>
        <w:rPr>
          <w:rFonts w:ascii="Times New Roman" w:hAnsi="Times New Roman"/>
          <w:bCs/>
          <w:sz w:val="24"/>
          <w:szCs w:val="24"/>
        </w:rPr>
        <w:t xml:space="preserve">Е.Н.Артёмова</w:t>
      </w:r>
      <w:r>
        <w:rPr>
          <w:rFonts w:ascii="Times New Roman" w:hAnsi="Times New Roman"/>
          <w:bCs/>
          <w:sz w:val="24"/>
          <w:szCs w:val="24"/>
        </w:rPr>
        <w:t xml:space="preserve">. – 2-е изд., </w:t>
      </w:r>
      <w:r>
        <w:rPr>
          <w:rFonts w:ascii="Times New Roman" w:hAnsi="Times New Roman"/>
          <w:bCs/>
          <w:sz w:val="24"/>
          <w:szCs w:val="24"/>
        </w:rPr>
        <w:t xml:space="preserve">перераб</w:t>
      </w:r>
      <w:r>
        <w:rPr>
          <w:rFonts w:ascii="Times New Roman" w:hAnsi="Times New Roman"/>
          <w:bCs/>
          <w:sz w:val="24"/>
          <w:szCs w:val="24"/>
        </w:rPr>
        <w:t xml:space="preserve">. и доп. – М.: КНОРУС, 2008.- 336с.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Качурина</w:t>
      </w:r>
      <w:r>
        <w:rPr>
          <w:rFonts w:ascii="Times New Roman" w:hAnsi="Times New Roman"/>
          <w:bCs/>
          <w:sz w:val="24"/>
          <w:szCs w:val="24"/>
        </w:rPr>
        <w:t xml:space="preserve"> Т.А. Кулинария. Рабочая тетрадь: </w:t>
      </w:r>
      <w:r>
        <w:rPr>
          <w:rFonts w:ascii="Times New Roman" w:hAnsi="Times New Roman"/>
          <w:bCs/>
          <w:sz w:val="24"/>
          <w:szCs w:val="24"/>
        </w:rPr>
        <w:t xml:space="preserve">учеб</w:t>
      </w:r>
      <w:r>
        <w:rPr>
          <w:rFonts w:ascii="Times New Roman" w:hAnsi="Times New Roman"/>
          <w:bCs/>
          <w:sz w:val="24"/>
          <w:szCs w:val="24"/>
        </w:rPr>
        <w:t xml:space="preserve">.п</w:t>
      </w:r>
      <w:r>
        <w:rPr>
          <w:rFonts w:ascii="Times New Roman" w:hAnsi="Times New Roman"/>
          <w:bCs/>
          <w:sz w:val="24"/>
          <w:szCs w:val="24"/>
        </w:rPr>
        <w:t xml:space="preserve">особие</w:t>
      </w:r>
      <w:r>
        <w:rPr>
          <w:rFonts w:ascii="Times New Roman" w:hAnsi="Times New Roman"/>
          <w:bCs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bCs/>
          <w:sz w:val="24"/>
          <w:szCs w:val="24"/>
        </w:rPr>
        <w:t xml:space="preserve">Т.А.Качурина</w:t>
      </w:r>
      <w:r>
        <w:rPr>
          <w:rFonts w:ascii="Times New Roman" w:hAnsi="Times New Roman"/>
          <w:bCs/>
          <w:sz w:val="24"/>
          <w:szCs w:val="24"/>
        </w:rPr>
        <w:t xml:space="preserve">. – 2-е изд., стер. </w:t>
      </w:r>
      <w:r>
        <w:rPr>
          <w:rFonts w:ascii="Times New Roman" w:hAnsi="Times New Roman"/>
          <w:sz w:val="24"/>
          <w:szCs w:val="24"/>
        </w:rPr>
        <w:t xml:space="preserve"> - М.: Академия, 2006. – 160 с.</w:t>
      </w:r>
      <w:r>
        <w:rPr>
          <w:rFonts w:ascii="Times New Roman" w:hAnsi="Times New Roman"/>
          <w:bCs/>
          <w:sz w:val="24"/>
          <w:szCs w:val="24"/>
        </w:rPr>
      </w:r>
      <w:r>
        <w:rPr>
          <w:rFonts w:ascii="Times New Roman" w:hAnsi="Times New Roman"/>
          <w:bCs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Качурина</w:t>
      </w:r>
      <w:r>
        <w:rPr>
          <w:rFonts w:ascii="Times New Roman" w:hAnsi="Times New Roman"/>
          <w:sz w:val="24"/>
          <w:szCs w:val="24"/>
        </w:rPr>
        <w:t xml:space="preserve"> Т.А. Основы физиологии питания, санитарии и гигиены. Рабочая тетрадь: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Т.А.Качурина</w:t>
      </w:r>
      <w:r>
        <w:rPr>
          <w:rFonts w:ascii="Times New Roman" w:hAnsi="Times New Roman"/>
          <w:sz w:val="24"/>
          <w:szCs w:val="24"/>
        </w:rPr>
        <w:t xml:space="preserve">. – М.: Академия, 2010. – 96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Качурина</w:t>
      </w:r>
      <w:r>
        <w:rPr>
          <w:rFonts w:ascii="Times New Roman" w:hAnsi="Times New Roman"/>
          <w:sz w:val="24"/>
          <w:szCs w:val="24"/>
        </w:rPr>
        <w:t xml:space="preserve"> Т.А. Товароведение пищевых продуктов: рабочая тетрадь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Т.А.Качурина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Т.А.Лаушкина</w:t>
      </w:r>
      <w:r>
        <w:rPr>
          <w:rFonts w:ascii="Times New Roman" w:hAnsi="Times New Roman"/>
          <w:sz w:val="24"/>
          <w:szCs w:val="24"/>
        </w:rPr>
        <w:t xml:space="preserve">. – М.: Академия, 2010. – 96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Козлова С.Н. Кулинарная характеристика блюд: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С.Н.Козлова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Е.Ю.Фединишина</w:t>
      </w:r>
      <w:r>
        <w:rPr>
          <w:rFonts w:ascii="Times New Roman" w:hAnsi="Times New Roman"/>
          <w:sz w:val="24"/>
          <w:szCs w:val="24"/>
        </w:rPr>
        <w:t xml:space="preserve">. - М.: Академия, 2007. – 192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Сопачева</w:t>
      </w:r>
      <w:r>
        <w:rPr>
          <w:rFonts w:ascii="Times New Roman" w:hAnsi="Times New Roman"/>
          <w:sz w:val="24"/>
          <w:szCs w:val="24"/>
        </w:rPr>
        <w:t xml:space="preserve"> Т.А. Оборудование предприятий общественного питания. Рабочая тетрадь: </w:t>
      </w:r>
      <w:r>
        <w:rPr>
          <w:rFonts w:ascii="Times New Roman" w:hAnsi="Times New Roman"/>
          <w:sz w:val="24"/>
          <w:szCs w:val="24"/>
        </w:rPr>
        <w:t xml:space="preserve">учеб</w:t>
      </w:r>
      <w:r>
        <w:rPr>
          <w:rFonts w:ascii="Times New Roman" w:hAnsi="Times New Roman"/>
          <w:sz w:val="24"/>
          <w:szCs w:val="24"/>
        </w:rPr>
        <w:t xml:space="preserve">.п</w:t>
      </w:r>
      <w:r>
        <w:rPr>
          <w:rFonts w:ascii="Times New Roman" w:hAnsi="Times New Roman"/>
          <w:sz w:val="24"/>
          <w:szCs w:val="24"/>
        </w:rPr>
        <w:t xml:space="preserve">особие</w:t>
      </w:r>
      <w:r>
        <w:rPr>
          <w:rFonts w:ascii="Times New Roman" w:hAnsi="Times New Roman"/>
          <w:sz w:val="24"/>
          <w:szCs w:val="24"/>
        </w:rPr>
        <w:t xml:space="preserve"> для нач. проф. образования / </w:t>
      </w:r>
      <w:r>
        <w:rPr>
          <w:rFonts w:ascii="Times New Roman" w:hAnsi="Times New Roman"/>
          <w:sz w:val="24"/>
          <w:szCs w:val="24"/>
        </w:rPr>
        <w:t xml:space="preserve">Т.А.Сопачева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М.В.Володина</w:t>
      </w:r>
      <w:r>
        <w:rPr>
          <w:rFonts w:ascii="Times New Roman" w:hAnsi="Times New Roman"/>
          <w:sz w:val="24"/>
          <w:szCs w:val="24"/>
        </w:rPr>
        <w:t xml:space="preserve">. – М.: Академия, 2010 . – 112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Калинина В.М. Охрана труда в организациях питания : учебник для студ. Учреждений сред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роф. Образования / </w:t>
      </w:r>
      <w:r>
        <w:rPr>
          <w:rFonts w:ascii="Times New Roman" w:hAnsi="Times New Roman"/>
          <w:sz w:val="24"/>
          <w:szCs w:val="24"/>
        </w:rPr>
        <w:t xml:space="preserve">В.М.Калинина</w:t>
      </w:r>
      <w:r>
        <w:rPr>
          <w:rFonts w:ascii="Times New Roman" w:hAnsi="Times New Roman"/>
          <w:sz w:val="24"/>
          <w:szCs w:val="24"/>
        </w:rPr>
        <w:t xml:space="preserve">. – М.</w:t>
      </w:r>
      <w:r>
        <w:rPr>
          <w:rFonts w:ascii="Times New Roman" w:hAnsi="Times New Roman"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Издательский центр «Академия», 2017. – 320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numPr>
          <w:ilvl w:val="0"/>
          <w:numId w:val="43"/>
        </w:numPr>
        <w:contextualSpacing/>
        <w:jc w:val="both"/>
        <w:spacing w:before="100" w:beforeAutospacing="1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Епифанова М.В. Товароведение продовольственных товаров : учеб для студ. Учреждений сред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</w:t>
      </w:r>
      <w:r>
        <w:rPr>
          <w:rFonts w:ascii="Times New Roman" w:hAnsi="Times New Roman"/>
          <w:sz w:val="24"/>
          <w:szCs w:val="24"/>
        </w:rPr>
        <w:t xml:space="preserve">роф. Образования / М.В. Епифанова. – 2-е изд., стер – М. : Издательский центр «Академия». 2019. – 208 с.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jc w:val="both"/>
        <w:spacing w:before="100" w:beforeAutospacing="1" w:after="0"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jc w:val="both"/>
        <w:spacing w:after="0" w:line="240" w:lineRule="auto"/>
        <w:tabs>
          <w:tab w:val="left" w:pos="426" w:leader="none"/>
        </w:tabs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Электронные источники</w:t>
      </w:r>
      <w:r>
        <w:rPr>
          <w:rFonts w:ascii="Times New Roman" w:hAnsi="Times New Roman"/>
          <w:b/>
          <w:i/>
          <w:sz w:val="24"/>
          <w:szCs w:val="24"/>
        </w:rPr>
      </w:r>
      <w:r>
        <w:rPr>
          <w:rFonts w:ascii="Times New Roman" w:hAnsi="Times New Roman"/>
          <w:b/>
          <w:i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/>
      <w:hyperlink r:id="rId16" w:tooltip="http://pravo.gov.ru/proxy/ips/?docbody=&amp;nd=102063865&amp;rdk=&amp;backlink=1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http://pravo.gov.ru/proxy/ips/?docbody=&amp;nd=102063865&amp;rdk=&amp;backlink=1</w:t>
        </w:r>
      </w:hyperlink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7" w:tooltip="http://ozpp.ru/laws2/postan/post7.html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http://ozpp.ru/laws2/postan/post7.html</w:t>
        </w:r>
      </w:hyperlink>
      <w:r>
        <w:rPr>
          <w:rFonts w:ascii="Times New Roman" w:hAnsi="Times New Roman"/>
          <w:color w:val="311fd0"/>
          <w:sz w:val="24"/>
          <w:szCs w:val="24"/>
          <w:u w:val="single"/>
        </w:rPr>
      </w:r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ind w:left="709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8" w:tooltip="http://www.ohranatruda.ru/ot_biblio/normativ/data_normativ/46/46201/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http://www.ohranatruda.ru/ot_biblio/normativ/data_normativ/46/46201/</w:t>
        </w:r>
      </w:hyperlink>
      <w:r>
        <w:rPr>
          <w:rFonts w:ascii="Times New Roman" w:hAnsi="Times New Roman"/>
          <w:color w:val="311fd0"/>
          <w:sz w:val="24"/>
          <w:szCs w:val="24"/>
          <w:u w:val="single"/>
        </w:rPr>
      </w:r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ind w:left="709"/>
        <w:jc w:val="both"/>
        <w:spacing w:after="0" w:line="240" w:lineRule="auto"/>
        <w:rPr>
          <w:rFonts w:ascii="Times New Roman" w:hAnsi="Times New Roman"/>
          <w:color w:val="311fd0"/>
          <w:sz w:val="24"/>
          <w:szCs w:val="24"/>
          <w:u w:val="single"/>
        </w:rPr>
      </w:pPr>
      <w:r/>
      <w:hyperlink r:id="rId19" w:tooltip="http://ohranatruda.ru/ot_biblio/normativ/data_normativ/9/9744/" w:history="1">
        <w:r>
          <w:rPr>
            <w:rFonts w:ascii="Times New Roman" w:hAnsi="Times New Roman"/>
            <w:color w:val="311fd0"/>
            <w:sz w:val="24"/>
            <w:szCs w:val="24"/>
            <w:u w:val="single"/>
          </w:rPr>
          <w:t xml:space="preserve">http://ohranatruda.ru/ot_biblio/normativ/data_normativ/9/9744/</w:t>
        </w:r>
      </w:hyperlink>
      <w:r>
        <w:rPr>
          <w:rFonts w:ascii="Times New Roman" w:hAnsi="Times New Roman"/>
          <w:color w:val="311fd0"/>
          <w:sz w:val="24"/>
          <w:szCs w:val="24"/>
          <w:u w:val="single"/>
        </w:rPr>
      </w:r>
      <w:r>
        <w:rPr>
          <w:rFonts w:ascii="Times New Roman" w:hAnsi="Times New Roman"/>
          <w:color w:val="311fd0"/>
          <w:sz w:val="24"/>
          <w:szCs w:val="24"/>
          <w:u w:val="single"/>
        </w:rPr>
      </w:r>
    </w:p>
    <w:p>
      <w:pPr>
        <w:contextualSpacing/>
        <w:jc w:val="both"/>
        <w:spacing w:before="100" w:beforeAutospacing="1"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0" w:tooltip="http://fcior.edu.ru/catalog/meta/5/p/page.html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fcior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catalog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meta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/5/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page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html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1" w:tooltip="http://www.jur-jur.ru/journals/jur22/index.html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journals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jur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22/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index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html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2" w:tooltip="http://www.eda-server.ru/gastronom/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server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gastronom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</w:hyperlink>
      <w:r>
        <w:rPr>
          <w:rFonts w:ascii="Times New Roman" w:hAnsi="Times New Roman"/>
          <w:iCs/>
          <w:sz w:val="24"/>
          <w:szCs w:val="24"/>
        </w:rPr>
        <w:t xml:space="preserve">;</w:t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color w:val="311fd0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0"/>
        </w:rPr>
        <w:t xml:space="preserve">          </w:t>
      </w:r>
      <w:hyperlink r:id="rId23" w:tooltip="http://www.eda-server.ru/culinary-school/" w:history="1"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http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://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www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eda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server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.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ru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culinary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-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  <w:lang w:val="en-US"/>
          </w:rPr>
          <w:t xml:space="preserve">school</w:t>
        </w:r>
        <w:r>
          <w:rPr>
            <w:rFonts w:ascii="Times New Roman" w:hAnsi="Times New Roman"/>
            <w:iCs/>
            <w:color w:val="311fd0"/>
            <w:sz w:val="24"/>
            <w:szCs w:val="24"/>
            <w:u w:val="single"/>
          </w:rPr>
          <w:t xml:space="preserve">/</w:t>
        </w:r>
      </w:hyperlink>
      <w:r>
        <w:rPr>
          <w:rFonts w:ascii="Times New Roman" w:hAnsi="Times New Roman"/>
          <w:iCs/>
          <w:color w:val="311fd0"/>
          <w:sz w:val="24"/>
          <w:szCs w:val="24"/>
          <w:u w:val="single"/>
        </w:rPr>
      </w:r>
      <w:r>
        <w:rPr>
          <w:rFonts w:ascii="Times New Roman" w:hAnsi="Times New Roman"/>
          <w:iCs/>
          <w:color w:val="311fd0"/>
          <w:sz w:val="24"/>
          <w:szCs w:val="24"/>
          <w:u w:val="single"/>
        </w:rPr>
      </w:r>
    </w:p>
    <w:p>
      <w:pPr>
        <w:ind w:right="-1"/>
        <w:jc w:val="both"/>
        <w:spacing w:after="0" w:line="240" w:lineRule="auto"/>
        <w:shd w:val="clear" w:color="auto" w:fill="ffffff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  <w:r>
        <w:rPr>
          <w:rFonts w:ascii="Times New Roman" w:hAnsi="Times New Roman"/>
          <w:iCs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3.3Кадровое обеспечение образовательного процесса </w:t>
      </w:r>
      <w:r>
        <w:rPr>
          <w:rFonts w:ascii="Times New Roman" w:hAnsi="Times New Roman"/>
          <w:b/>
          <w:sz w:val="24"/>
          <w:szCs w:val="28"/>
        </w:rPr>
      </w:r>
      <w:r>
        <w:rPr>
          <w:rFonts w:ascii="Times New Roman" w:hAnsi="Times New Roman"/>
          <w:b/>
          <w:sz w:val="24"/>
          <w:szCs w:val="28"/>
        </w:rPr>
      </w:r>
    </w:p>
    <w:p>
      <w:pPr>
        <w:jc w:val="both"/>
        <w:spacing w:after="0" w:line="240" w:lineRule="auto"/>
        <w:tabs>
          <w:tab w:val="left" w:pos="567" w:leader="none"/>
        </w:tabs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Реализация образовательного процесса по профессиональному модулю  обеспечивается педагогическими работниками техникума, соответствующих квалификационным требованиям профессионального стандарта, а также лицами</w:t>
      </w:r>
      <w:r>
        <w:rPr>
          <w:rFonts w:ascii="Times New Roman" w:hAnsi="Times New Roman"/>
          <w:sz w:val="24"/>
          <w:szCs w:val="28"/>
        </w:rPr>
        <w:t xml:space="preserve"> ,</w:t>
      </w:r>
      <w:r>
        <w:rPr>
          <w:rFonts w:ascii="Times New Roman" w:hAnsi="Times New Roman"/>
          <w:sz w:val="24"/>
          <w:szCs w:val="28"/>
        </w:rPr>
        <w:t xml:space="preserve">привлекаемых на условиях гражданско-правового договора ,в том числе из лица руководителей и работников организаций ,направление деятельности которых соответствует  области профессиональной деятельности и имеющих стаж не менее 3 лет.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ind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В освоении профессионального модуля  инвалидами и лицами с ограниченными возможностями здоровья большое значение имеет индивидуальная работа. Под индивидуальной работой подразумевается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 две формы взаимодействия с преподавателем: индивидуальная учебная 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</w:t>
      </w:r>
      <w:r>
        <w:rPr>
          <w:rFonts w:ascii="Times New Roman" w:hAnsi="Times New Roman" w:eastAsia="Courier New" w:cs="Symbol"/>
          <w:sz w:val="24"/>
          <w:szCs w:val="28"/>
          <w:lang w:bidi="hi-IN"/>
        </w:rPr>
        <w:t xml:space="preserve">я работа. Индивидуальные консультации по предмету является важным фактором,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33"/>
        <w:jc w:val="both"/>
        <w:spacing w:line="360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.</w:t>
      </w:r>
      <w:r>
        <w:rPr>
          <w:rFonts w:ascii="Times New Roman" w:hAnsi="Times New Roman"/>
          <w:sz w:val="24"/>
          <w:szCs w:val="28"/>
        </w:rPr>
      </w:r>
      <w:r>
        <w:rPr>
          <w:rFonts w:ascii="Times New Roman" w:hAnsi="Times New Roman"/>
          <w:sz w:val="24"/>
          <w:szCs w:val="28"/>
        </w:rPr>
      </w:r>
    </w:p>
    <w:p>
      <w:pPr>
        <w:numPr>
          <w:ilvl w:val="0"/>
          <w:numId w:val="1"/>
        </w:numPr>
        <w:rPr>
          <w:rFonts w:ascii="Times New Roman" w:hAnsi="Times New Roman"/>
          <w:b/>
          <w:i/>
          <w:color w:val="ff0000"/>
          <w:sz w:val="24"/>
          <w:szCs w:val="24"/>
        </w:rPr>
        <w:sectPr>
          <w:footerReference w:type="default" r:id="rId10"/>
          <w:footerReference w:type="even" r:id="rId11"/>
          <w:footnotePr/>
          <w:endnotePr/>
          <w:type w:val="nextPage"/>
          <w:pgSz w:w="11906" w:h="16838" w:orient="portrait"/>
          <w:pgMar w:top="1134" w:right="567" w:bottom="1134" w:left="1560" w:header="708" w:footer="708" w:gutter="0"/>
          <w:cols w:num="1" w:sep="0" w:space="708" w:equalWidth="1"/>
          <w:docGrid w:linePitch="360"/>
        </w:sectPr>
      </w:pPr>
      <w:r>
        <w:rPr>
          <w:rFonts w:ascii="Times New Roman" w:hAnsi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/>
          <w:b/>
          <w:i/>
          <w:color w:val="ff0000"/>
          <w:sz w:val="24"/>
          <w:szCs w:val="24"/>
        </w:rPr>
      </w:r>
      <w:r>
        <w:rPr>
          <w:rFonts w:ascii="Times New Roman" w:hAnsi="Times New Roman"/>
          <w:b/>
          <w:i/>
          <w:color w:val="ff0000"/>
          <w:sz w:val="24"/>
          <w:szCs w:val="24"/>
        </w:rPr>
      </w:r>
    </w:p>
    <w:p>
      <w:pPr>
        <w:ind w:left="993"/>
        <w:rPr>
          <w:rFonts w:ascii="Times New Roman" w:hAnsi="Times New Roman"/>
          <w:b/>
          <w:i/>
          <w:sz w:val="28"/>
          <w:szCs w:val="24"/>
        </w:rPr>
      </w:pPr>
      <w:r>
        <w:rPr>
          <w:rFonts w:ascii="Times New Roman" w:hAnsi="Times New Roman"/>
          <w:b/>
          <w:i/>
          <w:sz w:val="28"/>
          <w:szCs w:val="24"/>
        </w:rPr>
        <w:t xml:space="preserve">4. Контроль и оценка результатов освоения профессионального модуля (по разделам)</w:t>
      </w:r>
      <w:r>
        <w:rPr>
          <w:rFonts w:ascii="Times New Roman" w:hAnsi="Times New Roman"/>
          <w:b/>
          <w:i/>
          <w:sz w:val="28"/>
          <w:szCs w:val="24"/>
        </w:rPr>
      </w:r>
      <w:r>
        <w:rPr>
          <w:rFonts w:ascii="Times New Roman" w:hAnsi="Times New Roman"/>
          <w:b/>
          <w:i/>
          <w:sz w:val="28"/>
          <w:szCs w:val="24"/>
        </w:rPr>
      </w:r>
    </w:p>
    <w:tbl>
      <w:tblPr>
        <w:tblW w:w="15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1023"/>
        <w:gridCol w:w="4253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Результаты обучения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Формы и методы контроля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center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и оценки результатов обучения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784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Практический опыт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разработке ассортимента хлебобулочных мучных, кондитерских, изделий, с учетом потребностей различных категорий потребителей, видов и форм обслуживания;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разработке адаптации рецептур с учетом взаимозаменяемости продуктов, изменения выхода продукции, вида и формы обслуживания; 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организации и проведении подготовки рабочих мест кондитера, пекаря, подготовке к работе и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53" w:firstLine="284"/>
              <w:jc w:val="both"/>
              <w:spacing w:before="5"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подборе в соответствии с технологическими требованиями, оценке качества, безопасности кондитерского сырья, продуктов, отделочных полуфабрикатов;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before="5"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различными методами, творческом оформлении, эстетичной, подаче хлебобулочных, мучных кондитерских изделий сложного приготовления, в том числе авторских, брендовых, региональных;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43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упаковке, хранении готовой продукции с учетом требований к безопасности;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приготовлении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хранении фаршей, начинок, отделочных полуфабрикатов;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подготовке к использованию и хранении отделочных полуфабрикатов промышленного производства;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качества и безопасности готовой кулинарной продукции;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left="38" w:firstLine="284"/>
              <w:jc w:val="both"/>
              <w:spacing w:after="0"/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хранения и расхода продуктов.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Дневник производственной практики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Аттестационный лист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зачет по производственной практике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экзамен (квалификационный) по ПМ.05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3965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Умения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разрабатывать, изменять ассортимент, разрабатывать и адаптировать рецептуры хлебобулочных, мучных кондитерских изделий в соответствии с изменением спроса, с учетом потребностей различных категорий потребителей, видов и форм обслуживания;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оценивать их качество и соответствие технологическим требованиям;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организовывать и проводить подготовку рабочих мест,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весоизмерительных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приборов в соответствии с инструкциями и регламентами;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соблюдать правила сочетаемости, взаимозаменяемости, рационального использования основных и дополнительных ингредиентов, применения ароматических, красящих веществ;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проводить различными ме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тодами подготовку сырья, продуктов, замес теста, приготовление фаршей, начинок, отделочных полуфабрикатов, формование, выпечку, отделку хлебобулочных, мучных кондитерских изделий сложного ассортимента с учетом потребностей различных категорий потребителей;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хранить,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порционировать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(комплектовать), эстетично упаковывать на вынос готовую продукцию с учетом требований к безопасности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выполнение практических работ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 ;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выполнение лабораторных работ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аттестационный лист по учебной практике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зачет по учебной практике;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экзамен  комплексный МДК.05.01, МДК05.02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-- экзамен (квалификационный) по ПМ.05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  <w:tr>
        <w:tblPrEx/>
        <w:trPr>
          <w:trHeight w:val="4532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11023" w:type="dxa"/>
            <w:textDirection w:val="lrTb"/>
            <w:noWrap w:val="false"/>
          </w:tcPr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Знания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требованиям охраны труда, пожарной безопасности, и производственной, санитарии в организациях питания;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назначение, правила, безопасной эксплуатации технологического оборудования, производственного инвентаря, инструментов,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весоизмерительных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приборов, посуды и правила ухода за ними;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ассортимент, требования к качеству, условия и сроки хранения хлебобулочных, мучных кондитерских изделий сложного ассортимента;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актуальные направления в области приготовления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рецептуры, современные 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етоды подготовки сырья, продуктов, приготовления теста, отделочных полуфабрикатов, формовки, варианты оформления правила и способы презентации хлебобулочных, мучных кондитерских изделий сложного ассортимента, в том числе авторские, брендовые, региональные;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применения ароматических, красящих веществ, сухих смесей и готовых отделочных полуфабрикатов промышленного производства при приготовлении, отделке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сокращения потерь и сохранения пищевой ценности продуктов при приготовлении хлебобулочных, мучных кондитерских изделий;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284"/>
              <w:jc w:val="both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правила разработки рецептур, составления заявок на продукты. 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  <w:p>
            <w:pPr>
              <w:ind w:firstLine="542"/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4253" w:type="dxa"/>
            <w:textDirection w:val="lrTb"/>
            <w:noWrap w:val="false"/>
          </w:tcPr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Текущий контроль: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устный порос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-тестирование 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 экзамен комплексный МДК.05.01, МДК05.02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  <w:t xml:space="preserve">-- экзамен (квалификационный) по ПМ.05</w:t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sz w:val="24"/>
                <w:szCs w:val="24"/>
                <w:lang w:eastAsia="en-US"/>
              </w:rPr>
            </w:r>
          </w:p>
          <w:p>
            <w:pPr>
              <w:jc w:val="both"/>
              <w:spacing w:after="0" w:line="259" w:lineRule="auto"/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  <w:r>
              <w:rPr>
                <w:rFonts w:ascii="Times New Roman" w:hAnsi="Times New Roman" w:eastAsia="Calibri"/>
                <w:b/>
                <w:sz w:val="24"/>
                <w:szCs w:val="24"/>
                <w:lang w:eastAsia="en-US"/>
              </w:rPr>
            </w:r>
          </w:p>
        </w:tc>
      </w:tr>
    </w:tbl>
    <w:p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</w:r>
    </w:p>
    <w:p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sectPr>
      <w:footnotePr/>
      <w:endnotePr/>
      <w:type w:val="nextPage"/>
      <w:pgSz w:w="16838" w:h="11906" w:orient="landscape"/>
      <w:pgMar w:top="567" w:right="1134" w:bottom="1134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Droid Sans Fallback">
    <w:panose1 w:val="020B0502000000000001"/>
  </w:font>
  <w:font w:name="yandex-sans"/>
  <w:font w:name="Tahoma">
    <w:panose1 w:val="020B0506030602030204"/>
  </w:font>
  <w:font w:name="Century Schoolbook">
    <w:panose1 w:val="020606030506050202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rPr>
        <w:rStyle w:val="987"/>
      </w:rPr>
      <w:framePr w:wrap="around" w:vAnchor="text" w:hAnchor="margin" w:xAlign="right" w:y="1"/>
    </w:pPr>
    <w:r>
      <w:rPr>
        <w:rStyle w:val="987"/>
      </w:rPr>
      <w:fldChar w:fldCharType="begin"/>
    </w:r>
    <w:r>
      <w:rPr>
        <w:rStyle w:val="987"/>
      </w:rPr>
      <w:instrText xml:space="preserve">PAGE  </w:instrText>
    </w:r>
    <w:r>
      <w:rPr>
        <w:rStyle w:val="987"/>
      </w:rPr>
      <w:fldChar w:fldCharType="separate"/>
    </w:r>
    <w:r>
      <w:rPr>
        <w:rStyle w:val="987"/>
      </w:rPr>
      <w:t xml:space="preserve">16</w:t>
    </w:r>
    <w:r>
      <w:rPr>
        <w:rStyle w:val="987"/>
      </w:rPr>
      <w:fldChar w:fldCharType="end"/>
    </w:r>
    <w:r>
      <w:rPr>
        <w:rStyle w:val="987"/>
      </w:rPr>
    </w:r>
    <w:r>
      <w:rPr>
        <w:rStyle w:val="987"/>
      </w:rPr>
    </w:r>
  </w:p>
  <w:p>
    <w:pPr>
      <w:pStyle w:val="985"/>
      <w:ind w:right="360"/>
      <w:jc w:val="right"/>
    </w:pPr>
    <w:r/>
    <w:r/>
  </w:p>
  <w:p>
    <w:pPr>
      <w:pStyle w:val="98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22</w:t>
    </w:r>
    <w:r>
      <w:fldChar w:fldCharType="end"/>
    </w:r>
    <w:r/>
  </w:p>
  <w:p>
    <w:pPr>
      <w:pStyle w:val="98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5"/>
      <w:rPr>
        <w:rStyle w:val="987"/>
      </w:rPr>
      <w:framePr w:wrap="around" w:vAnchor="text" w:hAnchor="margin" w:xAlign="right" w:y="1"/>
    </w:pPr>
    <w:r>
      <w:rPr>
        <w:rStyle w:val="987"/>
      </w:rPr>
      <w:fldChar w:fldCharType="begin"/>
    </w:r>
    <w:r>
      <w:rPr>
        <w:rStyle w:val="987"/>
      </w:rPr>
      <w:instrText xml:space="preserve">PAGE  </w:instrText>
    </w:r>
    <w:r>
      <w:rPr>
        <w:rStyle w:val="987"/>
      </w:rPr>
      <w:fldChar w:fldCharType="end"/>
    </w:r>
    <w:r>
      <w:rPr>
        <w:rStyle w:val="987"/>
      </w:rPr>
    </w:r>
    <w:r>
      <w:rPr>
        <w:rStyle w:val="987"/>
      </w:rPr>
    </w:r>
  </w:p>
  <w:p>
    <w:pPr>
      <w:pStyle w:val="985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</w:pPr>
      <w:rPr>
        <w:rFonts w:hint="default" w:eastAsia="Times New Roman" w:cs="Times New Roman"/>
        <w:b/>
        <w:i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-"/>
      <w:lvlJc w:val="left"/>
      <w:pPr/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Calibri"/>
        <w:b w:val="0"/>
        <w:i w:val="0"/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353" w:hanging="360"/>
        <w:tabs>
          <w:tab w:val="num" w:pos="1353" w:leader="none"/>
        </w:tabs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04" w:hanging="360"/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24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44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164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884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04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24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44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0"/>
  </w:num>
  <w:num w:numId="3">
    <w:abstractNumId w:val="34"/>
  </w:num>
  <w:num w:numId="4">
    <w:abstractNumId w:val="23"/>
  </w:num>
  <w:num w:numId="5">
    <w:abstractNumId w:val="31"/>
  </w:num>
  <w:num w:numId="6">
    <w:abstractNumId w:val="37"/>
  </w:num>
  <w:num w:numId="7">
    <w:abstractNumId w:val="5"/>
  </w:num>
  <w:num w:numId="8">
    <w:abstractNumId w:val="4"/>
  </w:num>
  <w:num w:numId="9">
    <w:abstractNumId w:val="29"/>
  </w:num>
  <w:num w:numId="10">
    <w:abstractNumId w:val="30"/>
  </w:num>
  <w:num w:numId="11">
    <w:abstractNumId w:val="16"/>
  </w:num>
  <w:num w:numId="12">
    <w:abstractNumId w:val="6"/>
  </w:num>
  <w:num w:numId="13">
    <w:abstractNumId w:val="38"/>
  </w:num>
  <w:num w:numId="14">
    <w:abstractNumId w:val="40"/>
  </w:num>
  <w:num w:numId="15">
    <w:abstractNumId w:val="0"/>
  </w:num>
  <w:num w:numId="16">
    <w:abstractNumId w:val="18"/>
  </w:num>
  <w:num w:numId="17">
    <w:abstractNumId w:val="42"/>
  </w:num>
  <w:num w:numId="18">
    <w:abstractNumId w:val="20"/>
  </w:num>
  <w:num w:numId="19">
    <w:abstractNumId w:val="39"/>
  </w:num>
  <w:num w:numId="20">
    <w:abstractNumId w:val="3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35"/>
  </w:num>
  <w:num w:numId="24">
    <w:abstractNumId w:val="14"/>
  </w:num>
  <w:num w:numId="25">
    <w:abstractNumId w:val="22"/>
  </w:num>
  <w:num w:numId="26">
    <w:abstractNumId w:val="32"/>
  </w:num>
  <w:num w:numId="27">
    <w:abstractNumId w:val="2"/>
  </w:num>
  <w:num w:numId="28">
    <w:abstractNumId w:val="24"/>
  </w:num>
  <w:num w:numId="29">
    <w:abstractNumId w:val="28"/>
  </w:num>
  <w:num w:numId="30">
    <w:abstractNumId w:val="25"/>
  </w:num>
  <w:num w:numId="31">
    <w:abstractNumId w:val="36"/>
  </w:num>
  <w:num w:numId="32">
    <w:abstractNumId w:val="33"/>
  </w:num>
  <w:num w:numId="33">
    <w:abstractNumId w:val="17"/>
  </w:num>
  <w:num w:numId="34">
    <w:abstractNumId w:val="13"/>
  </w:num>
  <w:num w:numId="35">
    <w:abstractNumId w:val="11"/>
  </w:num>
  <w:num w:numId="36">
    <w:abstractNumId w:val="8"/>
  </w:num>
  <w:num w:numId="37">
    <w:abstractNumId w:val="27"/>
  </w:num>
  <w:num w:numId="38">
    <w:abstractNumId w:val="1"/>
  </w:num>
  <w:num w:numId="39">
    <w:abstractNumId w:val="7"/>
  </w:num>
  <w:num w:numId="40">
    <w:abstractNumId w:val="41"/>
  </w:num>
  <w:num w:numId="41">
    <w:abstractNumId w:val="19"/>
  </w:num>
  <w:num w:numId="42">
    <w:abstractNumId w:val="9"/>
  </w:num>
  <w:num w:numId="4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1">
    <w:name w:val="Heading 3 Char"/>
    <w:basedOn w:val="823"/>
    <w:link w:val="816"/>
    <w:uiPriority w:val="9"/>
    <w:rPr>
      <w:rFonts w:ascii="Arial" w:hAnsi="Arial" w:eastAsia="Arial" w:cs="Arial"/>
      <w:sz w:val="30"/>
      <w:szCs w:val="30"/>
    </w:rPr>
  </w:style>
  <w:style w:type="character" w:styleId="802">
    <w:name w:val="Heading 4 Char"/>
    <w:basedOn w:val="823"/>
    <w:link w:val="817"/>
    <w:uiPriority w:val="9"/>
    <w:rPr>
      <w:rFonts w:ascii="Arial" w:hAnsi="Arial" w:eastAsia="Arial" w:cs="Arial"/>
      <w:b/>
      <w:bCs/>
      <w:sz w:val="26"/>
      <w:szCs w:val="26"/>
    </w:rPr>
  </w:style>
  <w:style w:type="character" w:styleId="803">
    <w:name w:val="Heading 5 Char"/>
    <w:basedOn w:val="823"/>
    <w:link w:val="818"/>
    <w:uiPriority w:val="9"/>
    <w:rPr>
      <w:rFonts w:ascii="Arial" w:hAnsi="Arial" w:eastAsia="Arial" w:cs="Arial"/>
      <w:b/>
      <w:bCs/>
      <w:sz w:val="24"/>
      <w:szCs w:val="24"/>
    </w:rPr>
  </w:style>
  <w:style w:type="character" w:styleId="804">
    <w:name w:val="Heading 6 Char"/>
    <w:basedOn w:val="823"/>
    <w:link w:val="819"/>
    <w:uiPriority w:val="9"/>
    <w:rPr>
      <w:rFonts w:ascii="Arial" w:hAnsi="Arial" w:eastAsia="Arial" w:cs="Arial"/>
      <w:b/>
      <w:bCs/>
      <w:sz w:val="22"/>
      <w:szCs w:val="22"/>
    </w:rPr>
  </w:style>
  <w:style w:type="character" w:styleId="805">
    <w:name w:val="Heading 7 Char"/>
    <w:basedOn w:val="823"/>
    <w:link w:val="8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6">
    <w:name w:val="Heading 8 Char"/>
    <w:basedOn w:val="823"/>
    <w:link w:val="821"/>
    <w:uiPriority w:val="9"/>
    <w:rPr>
      <w:rFonts w:ascii="Arial" w:hAnsi="Arial" w:eastAsia="Arial" w:cs="Arial"/>
      <w:i/>
      <w:iCs/>
      <w:sz w:val="22"/>
      <w:szCs w:val="22"/>
    </w:rPr>
  </w:style>
  <w:style w:type="character" w:styleId="807">
    <w:name w:val="Heading 9 Char"/>
    <w:basedOn w:val="823"/>
    <w:link w:val="822"/>
    <w:uiPriority w:val="9"/>
    <w:rPr>
      <w:rFonts w:ascii="Arial" w:hAnsi="Arial" w:eastAsia="Arial" w:cs="Arial"/>
      <w:i/>
      <w:iCs/>
      <w:sz w:val="21"/>
      <w:szCs w:val="21"/>
    </w:rPr>
  </w:style>
  <w:style w:type="character" w:styleId="808">
    <w:name w:val="Title Char"/>
    <w:basedOn w:val="823"/>
    <w:link w:val="835"/>
    <w:uiPriority w:val="10"/>
    <w:rPr>
      <w:sz w:val="48"/>
      <w:szCs w:val="48"/>
    </w:rPr>
  </w:style>
  <w:style w:type="character" w:styleId="809">
    <w:name w:val="Subtitle Char"/>
    <w:basedOn w:val="823"/>
    <w:link w:val="837"/>
    <w:uiPriority w:val="11"/>
    <w:rPr>
      <w:sz w:val="24"/>
      <w:szCs w:val="24"/>
    </w:rPr>
  </w:style>
  <w:style w:type="character" w:styleId="810">
    <w:name w:val="Quote Char"/>
    <w:link w:val="839"/>
    <w:uiPriority w:val="29"/>
    <w:rPr>
      <w:i/>
    </w:rPr>
  </w:style>
  <w:style w:type="character" w:styleId="811">
    <w:name w:val="Intense Quote Char"/>
    <w:link w:val="841"/>
    <w:uiPriority w:val="30"/>
    <w:rPr>
      <w:i/>
    </w:rPr>
  </w:style>
  <w:style w:type="character" w:styleId="812">
    <w:name w:val="Endnote Text Char"/>
    <w:link w:val="972"/>
    <w:uiPriority w:val="99"/>
    <w:rPr>
      <w:sz w:val="20"/>
    </w:rPr>
  </w:style>
  <w:style w:type="paragraph" w:styleId="813" w:default="1">
    <w:name w:val="Normal"/>
    <w:qFormat/>
    <w:pPr>
      <w:spacing w:after="200" w:line="276" w:lineRule="auto"/>
    </w:pPr>
    <w:rPr>
      <w:sz w:val="22"/>
      <w:szCs w:val="22"/>
    </w:rPr>
  </w:style>
  <w:style w:type="paragraph" w:styleId="814">
    <w:name w:val="Heading 1"/>
    <w:basedOn w:val="813"/>
    <w:next w:val="813"/>
    <w:link w:val="1000"/>
    <w:uiPriority w:val="99"/>
    <w:qFormat/>
    <w:pPr>
      <w:ind w:firstLine="284"/>
      <w:keepNext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815">
    <w:name w:val="Heading 2"/>
    <w:basedOn w:val="813"/>
    <w:next w:val="813"/>
    <w:link w:val="1006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816">
    <w:name w:val="Heading 3"/>
    <w:basedOn w:val="813"/>
    <w:next w:val="813"/>
    <w:link w:val="82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817">
    <w:name w:val="Heading 4"/>
    <w:basedOn w:val="813"/>
    <w:next w:val="813"/>
    <w:link w:val="8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18">
    <w:name w:val="Heading 5"/>
    <w:basedOn w:val="813"/>
    <w:next w:val="813"/>
    <w:link w:val="8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19">
    <w:name w:val="Heading 6"/>
    <w:basedOn w:val="813"/>
    <w:next w:val="813"/>
    <w:link w:val="8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20">
    <w:name w:val="Heading 7"/>
    <w:basedOn w:val="813"/>
    <w:next w:val="813"/>
    <w:link w:val="8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21">
    <w:name w:val="Heading 8"/>
    <w:basedOn w:val="813"/>
    <w:next w:val="813"/>
    <w:link w:val="8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22">
    <w:name w:val="Heading 9"/>
    <w:basedOn w:val="813"/>
    <w:next w:val="813"/>
    <w:link w:val="8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 w:default="1">
    <w:name w:val="Default Paragraph Font"/>
    <w:uiPriority w:val="1"/>
    <w:semiHidden/>
    <w:unhideWhenUsed/>
  </w:style>
  <w:style w:type="table" w:styleId="8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25" w:default="1">
    <w:name w:val="No List"/>
    <w:uiPriority w:val="99"/>
    <w:semiHidden/>
    <w:unhideWhenUsed/>
  </w:style>
  <w:style w:type="character" w:styleId="826" w:customStyle="1">
    <w:name w:val="Heading 1 Char"/>
    <w:basedOn w:val="823"/>
    <w:uiPriority w:val="9"/>
    <w:rPr>
      <w:rFonts w:ascii="Arial" w:hAnsi="Arial" w:eastAsia="Arial" w:cs="Arial"/>
      <w:sz w:val="40"/>
      <w:szCs w:val="40"/>
    </w:rPr>
  </w:style>
  <w:style w:type="character" w:styleId="827" w:customStyle="1">
    <w:name w:val="Heading 2 Char"/>
    <w:basedOn w:val="823"/>
    <w:uiPriority w:val="9"/>
    <w:rPr>
      <w:rFonts w:ascii="Arial" w:hAnsi="Arial" w:eastAsia="Arial" w:cs="Arial"/>
      <w:sz w:val="34"/>
    </w:rPr>
  </w:style>
  <w:style w:type="character" w:styleId="828" w:customStyle="1">
    <w:name w:val="Заголовок 3 Знак"/>
    <w:basedOn w:val="823"/>
    <w:link w:val="816"/>
    <w:uiPriority w:val="9"/>
    <w:rPr>
      <w:rFonts w:ascii="Arial" w:hAnsi="Arial" w:eastAsia="Arial" w:cs="Arial"/>
      <w:sz w:val="30"/>
      <w:szCs w:val="30"/>
    </w:rPr>
  </w:style>
  <w:style w:type="character" w:styleId="829" w:customStyle="1">
    <w:name w:val="Заголовок 4 Знак"/>
    <w:basedOn w:val="823"/>
    <w:link w:val="817"/>
    <w:uiPriority w:val="9"/>
    <w:rPr>
      <w:rFonts w:ascii="Arial" w:hAnsi="Arial" w:eastAsia="Arial" w:cs="Arial"/>
      <w:b/>
      <w:bCs/>
      <w:sz w:val="26"/>
      <w:szCs w:val="26"/>
    </w:rPr>
  </w:style>
  <w:style w:type="character" w:styleId="830" w:customStyle="1">
    <w:name w:val="Заголовок 5 Знак"/>
    <w:basedOn w:val="823"/>
    <w:link w:val="818"/>
    <w:uiPriority w:val="9"/>
    <w:rPr>
      <w:rFonts w:ascii="Arial" w:hAnsi="Arial" w:eastAsia="Arial" w:cs="Arial"/>
      <w:b/>
      <w:bCs/>
      <w:sz w:val="24"/>
      <w:szCs w:val="24"/>
    </w:rPr>
  </w:style>
  <w:style w:type="character" w:styleId="831" w:customStyle="1">
    <w:name w:val="Заголовок 6 Знак"/>
    <w:basedOn w:val="823"/>
    <w:link w:val="819"/>
    <w:uiPriority w:val="9"/>
    <w:rPr>
      <w:rFonts w:ascii="Arial" w:hAnsi="Arial" w:eastAsia="Arial" w:cs="Arial"/>
      <w:b/>
      <w:bCs/>
      <w:sz w:val="22"/>
      <w:szCs w:val="22"/>
    </w:rPr>
  </w:style>
  <w:style w:type="character" w:styleId="832" w:customStyle="1">
    <w:name w:val="Заголовок 7 Знак"/>
    <w:basedOn w:val="823"/>
    <w:link w:val="8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3" w:customStyle="1">
    <w:name w:val="Заголовок 8 Знак"/>
    <w:basedOn w:val="823"/>
    <w:link w:val="821"/>
    <w:uiPriority w:val="9"/>
    <w:rPr>
      <w:rFonts w:ascii="Arial" w:hAnsi="Arial" w:eastAsia="Arial" w:cs="Arial"/>
      <w:i/>
      <w:iCs/>
      <w:sz w:val="22"/>
      <w:szCs w:val="22"/>
    </w:rPr>
  </w:style>
  <w:style w:type="character" w:styleId="834" w:customStyle="1">
    <w:name w:val="Заголовок 9 Знак"/>
    <w:basedOn w:val="823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35">
    <w:name w:val="Title"/>
    <w:basedOn w:val="813"/>
    <w:next w:val="813"/>
    <w:link w:val="836"/>
    <w:uiPriority w:val="10"/>
    <w:qFormat/>
    <w:pPr>
      <w:contextualSpacing/>
      <w:spacing w:before="300"/>
    </w:pPr>
    <w:rPr>
      <w:sz w:val="48"/>
      <w:szCs w:val="48"/>
    </w:rPr>
  </w:style>
  <w:style w:type="character" w:styleId="836" w:customStyle="1">
    <w:name w:val="Название Знак"/>
    <w:basedOn w:val="823"/>
    <w:link w:val="835"/>
    <w:uiPriority w:val="10"/>
    <w:rPr>
      <w:sz w:val="48"/>
      <w:szCs w:val="48"/>
    </w:rPr>
  </w:style>
  <w:style w:type="paragraph" w:styleId="837">
    <w:name w:val="Subtitle"/>
    <w:basedOn w:val="813"/>
    <w:next w:val="813"/>
    <w:link w:val="838"/>
    <w:uiPriority w:val="11"/>
    <w:qFormat/>
    <w:pPr>
      <w:spacing w:before="200"/>
    </w:pPr>
    <w:rPr>
      <w:sz w:val="24"/>
      <w:szCs w:val="24"/>
    </w:rPr>
  </w:style>
  <w:style w:type="character" w:styleId="838" w:customStyle="1">
    <w:name w:val="Подзаголовок Знак"/>
    <w:basedOn w:val="823"/>
    <w:link w:val="837"/>
    <w:uiPriority w:val="11"/>
    <w:rPr>
      <w:sz w:val="24"/>
      <w:szCs w:val="24"/>
    </w:rPr>
  </w:style>
  <w:style w:type="paragraph" w:styleId="839">
    <w:name w:val="Quote"/>
    <w:basedOn w:val="813"/>
    <w:next w:val="813"/>
    <w:link w:val="840"/>
    <w:uiPriority w:val="29"/>
    <w:qFormat/>
    <w:pPr>
      <w:ind w:left="720" w:right="720"/>
    </w:pPr>
    <w:rPr>
      <w:i/>
    </w:rPr>
  </w:style>
  <w:style w:type="character" w:styleId="840" w:customStyle="1">
    <w:name w:val="Цитата 2 Знак"/>
    <w:link w:val="839"/>
    <w:uiPriority w:val="29"/>
    <w:rPr>
      <w:i/>
    </w:rPr>
  </w:style>
  <w:style w:type="paragraph" w:styleId="841">
    <w:name w:val="Intense Quote"/>
    <w:basedOn w:val="813"/>
    <w:next w:val="813"/>
    <w:link w:val="84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2" w:customStyle="1">
    <w:name w:val="Выделенная цитата Знак"/>
    <w:link w:val="841"/>
    <w:uiPriority w:val="30"/>
    <w:rPr>
      <w:i/>
    </w:rPr>
  </w:style>
  <w:style w:type="character" w:styleId="843" w:customStyle="1">
    <w:name w:val="Header Char"/>
    <w:basedOn w:val="823"/>
    <w:uiPriority w:val="99"/>
  </w:style>
  <w:style w:type="character" w:styleId="844" w:customStyle="1">
    <w:name w:val="Footer Char"/>
    <w:basedOn w:val="823"/>
    <w:uiPriority w:val="99"/>
  </w:style>
  <w:style w:type="character" w:styleId="845" w:customStyle="1">
    <w:name w:val="Caption Char"/>
    <w:uiPriority w:val="99"/>
  </w:style>
  <w:style w:type="table" w:styleId="846" w:customStyle="1">
    <w:name w:val="Table Grid Light"/>
    <w:basedOn w:val="82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7" w:customStyle="1">
    <w:name w:val="Plain Table 1"/>
    <w:basedOn w:val="824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8" w:customStyle="1">
    <w:name w:val="Plain Table 2"/>
    <w:basedOn w:val="824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9" w:customStyle="1">
    <w:name w:val="Plain Table 3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0" w:customStyle="1">
    <w:name w:val="Plain Table 4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Plain Table 5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1 Light"/>
    <w:basedOn w:val="824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 w:customStyle="1">
    <w:name w:val="Grid Table 1 Light - Accent 1"/>
    <w:basedOn w:val="82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Grid Table 1 Light - Accent 2"/>
    <w:basedOn w:val="82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Grid Table 1 Light - Accent 3"/>
    <w:basedOn w:val="82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Grid Table 1 Light - Accent 4"/>
    <w:basedOn w:val="82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Grid Table 1 Light - Accent 5"/>
    <w:basedOn w:val="82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Grid Table 1 Light - Accent 6"/>
    <w:basedOn w:val="82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Grid Table 2"/>
    <w:basedOn w:val="82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Grid Table 2 - Accent 1"/>
    <w:basedOn w:val="82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Grid Table 2 - Accent 2"/>
    <w:basedOn w:val="82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Grid Table 2 - Accent 3"/>
    <w:basedOn w:val="82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Grid Table 2 - Accent 4"/>
    <w:basedOn w:val="82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Grid Table 2 - Accent 5"/>
    <w:basedOn w:val="82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Grid Table 2 - Accent 6"/>
    <w:basedOn w:val="82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Grid Table 3"/>
    <w:basedOn w:val="824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Grid Table 3 - Accent 1"/>
    <w:basedOn w:val="824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Grid Table 3 - Accent 2"/>
    <w:basedOn w:val="82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Grid Table 3 - Accent 3"/>
    <w:basedOn w:val="82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 w:customStyle="1">
    <w:name w:val="Grid Table 3 - Accent 4"/>
    <w:basedOn w:val="82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 w:customStyle="1">
    <w:name w:val="Grid Table 3 - Accent 5"/>
    <w:basedOn w:val="824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3 - Accent 6"/>
    <w:basedOn w:val="824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 w:customStyle="1">
    <w:name w:val="Grid Table 4"/>
    <w:basedOn w:val="82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4" w:customStyle="1">
    <w:name w:val="Grid Table 4 - Accent 1"/>
    <w:basedOn w:val="824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75" w:customStyle="1">
    <w:name w:val="Grid Table 4 - Accent 2"/>
    <w:basedOn w:val="824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76" w:customStyle="1">
    <w:name w:val="Grid Table 4 - Accent 3"/>
    <w:basedOn w:val="824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77" w:customStyle="1">
    <w:name w:val="Grid Table 4 - Accent 4"/>
    <w:basedOn w:val="82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78" w:customStyle="1">
    <w:name w:val="Grid Table 4 - Accent 5"/>
    <w:basedOn w:val="824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79" w:customStyle="1">
    <w:name w:val="Grid Table 4 - Accent 6"/>
    <w:basedOn w:val="824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80" w:customStyle="1">
    <w:name w:val="Grid Table 5 Dark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81" w:customStyle="1">
    <w:name w:val="Grid Table 5 Dark- Accent 1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82" w:customStyle="1">
    <w:name w:val="Grid Table 5 Dark - Accent 2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83" w:customStyle="1">
    <w:name w:val="Grid Table 5 Dark - Accent 3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84" w:customStyle="1">
    <w:name w:val="Grid Table 5 Dark- Accent 4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85" w:customStyle="1">
    <w:name w:val="Grid Table 5 Dark - Accent 5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86" w:customStyle="1">
    <w:name w:val="Grid Table 5 Dark - Accent 6"/>
    <w:basedOn w:val="82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87" w:customStyle="1">
    <w:name w:val="Grid Table 6 Colorful"/>
    <w:basedOn w:val="82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88" w:customStyle="1">
    <w:name w:val="Grid Table 6 Colorful - Accent 1"/>
    <w:basedOn w:val="824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89" w:customStyle="1">
    <w:name w:val="Grid Table 6 Colorful - Accent 2"/>
    <w:basedOn w:val="82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90" w:customStyle="1">
    <w:name w:val="Grid Table 6 Colorful - Accent 3"/>
    <w:basedOn w:val="824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91" w:customStyle="1">
    <w:name w:val="Grid Table 6 Colorful - Accent 4"/>
    <w:basedOn w:val="82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92" w:customStyle="1">
    <w:name w:val="Grid Table 6 Colorful - Accent 5"/>
    <w:basedOn w:val="824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3" w:customStyle="1">
    <w:name w:val="Grid Table 6 Colorful - Accent 6"/>
    <w:basedOn w:val="824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94" w:customStyle="1">
    <w:name w:val="Grid Table 7 Colorful"/>
    <w:basedOn w:val="824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5" w:customStyle="1">
    <w:name w:val="Grid Table 7 Colorful - Accent 1"/>
    <w:basedOn w:val="824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Grid Table 7 Colorful - Accent 2"/>
    <w:basedOn w:val="824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Grid Table 7 Colorful - Accent 3"/>
    <w:basedOn w:val="824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Grid Table 7 Colorful - Accent 4"/>
    <w:basedOn w:val="82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Grid Table 7 Colorful - Accent 5"/>
    <w:basedOn w:val="824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Grid Table 7 Colorful - Accent 6"/>
    <w:basedOn w:val="824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1 Light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1 Light - Accent 1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1 Light - Accent 2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1 Light - Accent 3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1 Light - Accent 4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1 Light - Accent 5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1 Light - Accent 6"/>
    <w:basedOn w:val="824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2"/>
    <w:basedOn w:val="824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09" w:customStyle="1">
    <w:name w:val="List Table 2 - Accent 1"/>
    <w:basedOn w:val="82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10" w:customStyle="1">
    <w:name w:val="List Table 2 - Accent 2"/>
    <w:basedOn w:val="82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11" w:customStyle="1">
    <w:name w:val="List Table 2 - Accent 3"/>
    <w:basedOn w:val="82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12" w:customStyle="1">
    <w:name w:val="List Table 2 - Accent 4"/>
    <w:basedOn w:val="82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13" w:customStyle="1">
    <w:name w:val="List Table 2 - Accent 5"/>
    <w:basedOn w:val="82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14" w:customStyle="1">
    <w:name w:val="List Table 2 - Accent 6"/>
    <w:basedOn w:val="82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15" w:customStyle="1">
    <w:name w:val="List Table 3"/>
    <w:basedOn w:val="82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List Table 3 - Accent 1"/>
    <w:basedOn w:val="82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List Table 3 - Accent 2"/>
    <w:basedOn w:val="82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List Table 3 - Accent 3"/>
    <w:basedOn w:val="82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 w:customStyle="1">
    <w:name w:val="List Table 3 - Accent 4"/>
    <w:basedOn w:val="82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 w:customStyle="1">
    <w:name w:val="List Table 3 - Accent 5"/>
    <w:basedOn w:val="82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 w:customStyle="1">
    <w:name w:val="List Table 3 - Accent 6"/>
    <w:basedOn w:val="82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 w:customStyle="1">
    <w:name w:val="List Table 4"/>
    <w:basedOn w:val="82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 w:customStyle="1">
    <w:name w:val="List Table 4 - Accent 1"/>
    <w:basedOn w:val="824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 w:customStyle="1">
    <w:name w:val="List Table 4 - Accent 2"/>
    <w:basedOn w:val="824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 w:customStyle="1">
    <w:name w:val="List Table 4 - Accent 3"/>
    <w:basedOn w:val="824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 w:customStyle="1">
    <w:name w:val="List Table 4 - Accent 4"/>
    <w:basedOn w:val="82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 w:customStyle="1">
    <w:name w:val="List Table 4 - Accent 5"/>
    <w:basedOn w:val="824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 w:customStyle="1">
    <w:name w:val="List Table 4 - Accent 6"/>
    <w:basedOn w:val="824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 w:customStyle="1">
    <w:name w:val="List Table 5 Dark"/>
    <w:basedOn w:val="82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0" w:customStyle="1">
    <w:name w:val="List Table 5 Dark - Accent 1"/>
    <w:basedOn w:val="824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1" w:customStyle="1">
    <w:name w:val="List Table 5 Dark - Accent 2"/>
    <w:basedOn w:val="82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2" w:customStyle="1">
    <w:name w:val="List Table 5 Dark - Accent 3"/>
    <w:basedOn w:val="82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3" w:customStyle="1">
    <w:name w:val="List Table 5 Dark - Accent 4"/>
    <w:basedOn w:val="82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4" w:customStyle="1">
    <w:name w:val="List Table 5 Dark - Accent 5"/>
    <w:basedOn w:val="82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5" w:customStyle="1">
    <w:name w:val="List Table 5 Dark - Accent 6"/>
    <w:basedOn w:val="82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36" w:customStyle="1">
    <w:name w:val="List Table 6 Colorful"/>
    <w:basedOn w:val="824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37" w:customStyle="1">
    <w:name w:val="List Table 6 Colorful - Accent 1"/>
    <w:basedOn w:val="824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38" w:customStyle="1">
    <w:name w:val="List Table 6 Colorful - Accent 2"/>
    <w:basedOn w:val="824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39" w:customStyle="1">
    <w:name w:val="List Table 6 Colorful - Accent 3"/>
    <w:basedOn w:val="824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40" w:customStyle="1">
    <w:name w:val="List Table 6 Colorful - Accent 4"/>
    <w:basedOn w:val="82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41" w:customStyle="1">
    <w:name w:val="List Table 6 Colorful - Accent 5"/>
    <w:basedOn w:val="824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42" w:customStyle="1">
    <w:name w:val="List Table 6 Colorful - Accent 6"/>
    <w:basedOn w:val="824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43" w:customStyle="1">
    <w:name w:val="List Table 7 Colorful"/>
    <w:basedOn w:val="824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4" w:customStyle="1">
    <w:name w:val="List Table 7 Colorful - Accent 1"/>
    <w:basedOn w:val="824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5" w:customStyle="1">
    <w:name w:val="List Table 7 Colorful - Accent 2"/>
    <w:basedOn w:val="824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6" w:customStyle="1">
    <w:name w:val="List Table 7 Colorful - Accent 3"/>
    <w:basedOn w:val="824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7" w:customStyle="1">
    <w:name w:val="List Table 7 Colorful - Accent 4"/>
    <w:basedOn w:val="82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8" w:customStyle="1">
    <w:name w:val="List Table 7 Colorful - Accent 5"/>
    <w:basedOn w:val="824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49" w:customStyle="1">
    <w:name w:val="List Table 7 Colorful - Accent 6"/>
    <w:basedOn w:val="824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50" w:customStyle="1">
    <w:name w:val="Lined - Accent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1" w:customStyle="1">
    <w:name w:val="Lined - Accent 1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2" w:customStyle="1">
    <w:name w:val="Lined - Accent 2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53" w:customStyle="1">
    <w:name w:val="Lined - Accent 3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54" w:customStyle="1">
    <w:name w:val="Lined - Accent 4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55" w:customStyle="1">
    <w:name w:val="Lined - Accent 5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56" w:customStyle="1">
    <w:name w:val="Lined - Accent 6"/>
    <w:basedOn w:val="824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57" w:customStyle="1">
    <w:name w:val="Bordered &amp; Lined - Accent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58" w:customStyle="1">
    <w:name w:val="Bordered &amp; Lined - Accent 1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59" w:customStyle="1">
    <w:name w:val="Bordered &amp; Lined - Accent 2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60" w:customStyle="1">
    <w:name w:val="Bordered &amp; Lined - Accent 3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61" w:customStyle="1">
    <w:name w:val="Bordered &amp; Lined - Accent 4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62" w:customStyle="1">
    <w:name w:val="Bordered &amp; Lined - Accent 5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63" w:customStyle="1">
    <w:name w:val="Bordered &amp; Lined - Accent 6"/>
    <w:basedOn w:val="82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64" w:customStyle="1">
    <w:name w:val="Bordered"/>
    <w:basedOn w:val="824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65" w:customStyle="1">
    <w:name w:val="Bordered - Accent 1"/>
    <w:basedOn w:val="824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66" w:customStyle="1">
    <w:name w:val="Bordered - Accent 2"/>
    <w:basedOn w:val="824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67" w:customStyle="1">
    <w:name w:val="Bordered - Accent 3"/>
    <w:basedOn w:val="824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68" w:customStyle="1">
    <w:name w:val="Bordered - Accent 4"/>
    <w:basedOn w:val="82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69" w:customStyle="1">
    <w:name w:val="Bordered - Accent 5"/>
    <w:basedOn w:val="824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70" w:customStyle="1">
    <w:name w:val="Bordered - Accent 6"/>
    <w:basedOn w:val="824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71" w:customStyle="1">
    <w:name w:val="Footnote Text Char"/>
    <w:uiPriority w:val="99"/>
    <w:rPr>
      <w:sz w:val="18"/>
    </w:rPr>
  </w:style>
  <w:style w:type="paragraph" w:styleId="972">
    <w:name w:val="endnote text"/>
    <w:basedOn w:val="813"/>
    <w:link w:val="973"/>
    <w:uiPriority w:val="99"/>
    <w:semiHidden/>
    <w:unhideWhenUsed/>
    <w:pPr>
      <w:spacing w:after="0" w:line="240" w:lineRule="auto"/>
    </w:pPr>
    <w:rPr>
      <w:sz w:val="20"/>
    </w:rPr>
  </w:style>
  <w:style w:type="character" w:styleId="973" w:customStyle="1">
    <w:name w:val="Текст концевой сноски Знак"/>
    <w:link w:val="972"/>
    <w:uiPriority w:val="99"/>
    <w:rPr>
      <w:sz w:val="20"/>
    </w:rPr>
  </w:style>
  <w:style w:type="character" w:styleId="974">
    <w:name w:val="endnote reference"/>
    <w:basedOn w:val="823"/>
    <w:uiPriority w:val="99"/>
    <w:semiHidden/>
    <w:unhideWhenUsed/>
    <w:rPr>
      <w:vertAlign w:val="superscript"/>
    </w:rPr>
  </w:style>
  <w:style w:type="paragraph" w:styleId="975">
    <w:name w:val="toc 1"/>
    <w:basedOn w:val="813"/>
    <w:next w:val="813"/>
    <w:uiPriority w:val="39"/>
    <w:unhideWhenUsed/>
    <w:pPr>
      <w:spacing w:after="57"/>
    </w:pPr>
  </w:style>
  <w:style w:type="paragraph" w:styleId="976">
    <w:name w:val="toc 2"/>
    <w:basedOn w:val="813"/>
    <w:next w:val="813"/>
    <w:uiPriority w:val="39"/>
    <w:unhideWhenUsed/>
    <w:pPr>
      <w:ind w:left="283"/>
      <w:spacing w:after="57"/>
    </w:pPr>
  </w:style>
  <w:style w:type="paragraph" w:styleId="977">
    <w:name w:val="toc 3"/>
    <w:basedOn w:val="813"/>
    <w:next w:val="813"/>
    <w:uiPriority w:val="39"/>
    <w:unhideWhenUsed/>
    <w:pPr>
      <w:ind w:left="567"/>
      <w:spacing w:after="57"/>
    </w:pPr>
  </w:style>
  <w:style w:type="paragraph" w:styleId="978">
    <w:name w:val="toc 5"/>
    <w:basedOn w:val="813"/>
    <w:next w:val="813"/>
    <w:uiPriority w:val="39"/>
    <w:unhideWhenUsed/>
    <w:pPr>
      <w:ind w:left="1134"/>
      <w:spacing w:after="57"/>
    </w:pPr>
  </w:style>
  <w:style w:type="paragraph" w:styleId="979">
    <w:name w:val="toc 6"/>
    <w:basedOn w:val="813"/>
    <w:next w:val="813"/>
    <w:uiPriority w:val="39"/>
    <w:unhideWhenUsed/>
    <w:pPr>
      <w:ind w:left="1417"/>
      <w:spacing w:after="57"/>
    </w:pPr>
  </w:style>
  <w:style w:type="paragraph" w:styleId="980">
    <w:name w:val="toc 7"/>
    <w:basedOn w:val="813"/>
    <w:next w:val="813"/>
    <w:uiPriority w:val="39"/>
    <w:unhideWhenUsed/>
    <w:pPr>
      <w:ind w:left="1701"/>
      <w:spacing w:after="57"/>
    </w:pPr>
  </w:style>
  <w:style w:type="paragraph" w:styleId="981">
    <w:name w:val="toc 8"/>
    <w:basedOn w:val="813"/>
    <w:next w:val="813"/>
    <w:uiPriority w:val="39"/>
    <w:unhideWhenUsed/>
    <w:pPr>
      <w:ind w:left="1984"/>
      <w:spacing w:after="57"/>
    </w:pPr>
  </w:style>
  <w:style w:type="paragraph" w:styleId="982">
    <w:name w:val="toc 9"/>
    <w:basedOn w:val="813"/>
    <w:next w:val="813"/>
    <w:uiPriority w:val="39"/>
    <w:unhideWhenUsed/>
    <w:pPr>
      <w:ind w:left="2268"/>
      <w:spacing w:after="57"/>
    </w:pPr>
  </w:style>
  <w:style w:type="paragraph" w:styleId="983">
    <w:name w:val="TOC Heading"/>
    <w:uiPriority w:val="39"/>
    <w:unhideWhenUsed/>
  </w:style>
  <w:style w:type="paragraph" w:styleId="984">
    <w:name w:val="table of figures"/>
    <w:basedOn w:val="813"/>
    <w:next w:val="813"/>
    <w:uiPriority w:val="99"/>
    <w:unhideWhenUsed/>
    <w:pPr>
      <w:spacing w:after="0"/>
    </w:pPr>
  </w:style>
  <w:style w:type="paragraph" w:styleId="985">
    <w:name w:val="Footer"/>
    <w:basedOn w:val="813"/>
    <w:link w:val="986"/>
    <w:uiPriority w:val="99"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986" w:customStyle="1">
    <w:name w:val="Нижний колонтитул Знак"/>
    <w:link w:val="985"/>
    <w:uiPriority w:val="99"/>
    <w:rPr>
      <w:rFonts w:cs="Times New Roman"/>
    </w:rPr>
  </w:style>
  <w:style w:type="character" w:styleId="987">
    <w:name w:val="page number"/>
    <w:uiPriority w:val="99"/>
    <w:rPr>
      <w:rFonts w:cs="Times New Roman"/>
    </w:rPr>
  </w:style>
  <w:style w:type="paragraph" w:styleId="988">
    <w:name w:val="footnote text"/>
    <w:basedOn w:val="813"/>
    <w:link w:val="989"/>
    <w:uiPriority w:val="99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styleId="989" w:customStyle="1">
    <w:name w:val="Текст сноски Знак"/>
    <w:link w:val="988"/>
    <w:uiPriority w:val="99"/>
    <w:rPr>
      <w:rFonts w:ascii="Times New Roman" w:hAnsi="Times New Roman" w:cs="Times New Roman"/>
      <w:sz w:val="20"/>
      <w:szCs w:val="20"/>
      <w:lang w:val="en-US" w:eastAsia="ru-RU"/>
    </w:rPr>
  </w:style>
  <w:style w:type="character" w:styleId="990">
    <w:name w:val="footnote reference"/>
    <w:uiPriority w:val="99"/>
    <w:rPr>
      <w:rFonts w:cs="Times New Roman"/>
      <w:vertAlign w:val="superscript"/>
    </w:rPr>
  </w:style>
  <w:style w:type="paragraph" w:styleId="991">
    <w:name w:val="List Paragraph"/>
    <w:basedOn w:val="813"/>
    <w:uiPriority w:val="99"/>
    <w:qFormat/>
    <w:pPr>
      <w:contextualSpacing/>
      <w:ind w:left="720"/>
    </w:pPr>
  </w:style>
  <w:style w:type="character" w:styleId="992" w:customStyle="1">
    <w:name w:val="Font Style121"/>
    <w:uiPriority w:val="99"/>
    <w:rPr>
      <w:rFonts w:ascii="Century Schoolbook" w:hAnsi="Century Schoolbook" w:cs="Century Schoolbook"/>
      <w:sz w:val="20"/>
      <w:szCs w:val="20"/>
    </w:rPr>
  </w:style>
  <w:style w:type="paragraph" w:styleId="993" w:customStyle="1">
    <w:name w:val="ConsPlusNormal"/>
    <w:uiPriority w:val="99"/>
    <w:pPr>
      <w:widowControl w:val="off"/>
    </w:pPr>
    <w:rPr>
      <w:rFonts w:ascii="Arial" w:hAnsi="Arial" w:cs="Arial"/>
    </w:rPr>
  </w:style>
  <w:style w:type="paragraph" w:styleId="994">
    <w:name w:val="Body Text Indent"/>
    <w:basedOn w:val="813"/>
    <w:link w:val="995"/>
    <w:uiPriority w:val="99"/>
    <w:pPr>
      <w:ind w:left="283"/>
      <w:spacing w:after="120" w:line="240" w:lineRule="auto"/>
    </w:pPr>
    <w:rPr>
      <w:rFonts w:ascii="Times New Roman" w:hAnsi="Times New Roman"/>
      <w:sz w:val="24"/>
      <w:szCs w:val="20"/>
    </w:rPr>
  </w:style>
  <w:style w:type="character" w:styleId="995" w:customStyle="1">
    <w:name w:val="Основной текст с отступом Знак"/>
    <w:link w:val="994"/>
    <w:uiPriority w:val="99"/>
    <w:rPr>
      <w:rFonts w:ascii="Times New Roman" w:hAnsi="Times New Roman" w:cs="Times New Roman"/>
      <w:sz w:val="20"/>
      <w:szCs w:val="20"/>
      <w:lang w:eastAsia="ru-RU"/>
    </w:rPr>
  </w:style>
  <w:style w:type="character" w:styleId="996" w:customStyle="1">
    <w:name w:val="Hyperlink.1"/>
    <w:uiPriority w:val="99"/>
    <w:rPr>
      <w:lang w:val="ru-RU"/>
    </w:rPr>
  </w:style>
  <w:style w:type="character" w:styleId="997">
    <w:name w:val="Emphasis"/>
    <w:qFormat/>
    <w:rPr>
      <w:rFonts w:cs="Times New Roman"/>
      <w:i/>
    </w:rPr>
  </w:style>
  <w:style w:type="paragraph" w:styleId="998">
    <w:name w:val="toc 4"/>
    <w:basedOn w:val="813"/>
    <w:next w:val="813"/>
    <w:pPr>
      <w:ind w:left="720"/>
      <w:spacing w:after="0" w:line="240" w:lineRule="auto"/>
    </w:pPr>
    <w:rPr>
      <w:rFonts w:cs="Calibri"/>
      <w:sz w:val="20"/>
      <w:szCs w:val="20"/>
    </w:rPr>
  </w:style>
  <w:style w:type="table" w:styleId="999">
    <w:name w:val="Table Grid"/>
    <w:basedOn w:val="824"/>
    <w:rPr>
      <w:rFonts w:ascii="Times New Roman" w:hAnsi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00" w:customStyle="1">
    <w:name w:val="Заголовок 1 Знак"/>
    <w:basedOn w:val="823"/>
    <w:link w:val="814"/>
    <w:uiPriority w:val="99"/>
    <w:rPr>
      <w:rFonts w:ascii="Times New Roman" w:hAnsi="Times New Roman"/>
      <w:sz w:val="24"/>
      <w:szCs w:val="24"/>
    </w:rPr>
  </w:style>
  <w:style w:type="paragraph" w:styleId="1001">
    <w:name w:val="Caption"/>
    <w:basedOn w:val="813"/>
    <w:next w:val="813"/>
    <w:qFormat/>
    <w:pPr>
      <w:jc w:val="center"/>
      <w:spacing w:after="0" w:line="240" w:lineRule="auto"/>
    </w:pPr>
    <w:rPr>
      <w:rFonts w:ascii="Times New Roman" w:hAnsi="Times New Roman"/>
      <w:b/>
      <w:iCs/>
      <w:sz w:val="24"/>
      <w:szCs w:val="28"/>
    </w:rPr>
  </w:style>
  <w:style w:type="paragraph" w:styleId="1002">
    <w:name w:val="No Spacing"/>
    <w:uiPriority w:val="99"/>
    <w:qFormat/>
    <w:rPr>
      <w:rFonts w:ascii="Times New Roman" w:hAnsi="Times New Roman"/>
      <w:sz w:val="24"/>
      <w:szCs w:val="24"/>
    </w:rPr>
  </w:style>
  <w:style w:type="character" w:styleId="1003">
    <w:name w:val="Hyperlink"/>
    <w:rPr>
      <w:rFonts w:cs="Times New Roman"/>
      <w:color w:val="0000ff"/>
      <w:u w:val="single"/>
    </w:rPr>
  </w:style>
  <w:style w:type="paragraph" w:styleId="1004" w:customStyle="1">
    <w:name w:val="cv"/>
    <w:basedOn w:val="81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1005" w:customStyle="1">
    <w:name w:val="Default"/>
    <w:rPr>
      <w:rFonts w:ascii="Times New Roman" w:hAnsi="Times New Roman"/>
      <w:color w:val="000000"/>
      <w:sz w:val="24"/>
      <w:szCs w:val="24"/>
    </w:rPr>
  </w:style>
  <w:style w:type="character" w:styleId="1006" w:customStyle="1">
    <w:name w:val="Заголовок 2 Знак"/>
    <w:basedOn w:val="823"/>
    <w:link w:val="815"/>
    <w:uiPriority w:val="99"/>
    <w:rPr>
      <w:rFonts w:ascii="Arial" w:hAnsi="Arial"/>
      <w:b/>
      <w:bCs/>
      <w:i/>
      <w:iCs/>
      <w:sz w:val="28"/>
      <w:szCs w:val="28"/>
    </w:rPr>
  </w:style>
  <w:style w:type="paragraph" w:styleId="1007">
    <w:name w:val="Balloon Text"/>
    <w:basedOn w:val="813"/>
    <w:link w:val="100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08" w:customStyle="1">
    <w:name w:val="Текст выноски Знак"/>
    <w:basedOn w:val="823"/>
    <w:link w:val="1007"/>
    <w:uiPriority w:val="99"/>
    <w:semiHidden/>
    <w:rPr>
      <w:rFonts w:ascii="Tahoma" w:hAnsi="Tahoma" w:cs="Tahoma"/>
      <w:sz w:val="16"/>
      <w:szCs w:val="16"/>
    </w:rPr>
  </w:style>
  <w:style w:type="paragraph" w:styleId="1009">
    <w:name w:val="Header"/>
    <w:basedOn w:val="813"/>
    <w:link w:val="101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10" w:customStyle="1">
    <w:name w:val="Верхний колонтитул Знак"/>
    <w:basedOn w:val="823"/>
    <w:link w:val="1009"/>
    <w:uiPriority w:val="99"/>
    <w:rPr>
      <w:sz w:val="22"/>
      <w:szCs w:val="22"/>
    </w:rPr>
  </w:style>
  <w:style w:type="paragraph" w:styleId="1011">
    <w:name w:val="Normal (Web)"/>
    <w:basedOn w:val="813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Relationship Id="rId13" Type="http://schemas.openxmlformats.org/officeDocument/2006/relationships/image" Target="media/image1.png"/><Relationship Id="rId14" Type="http://schemas.openxmlformats.org/officeDocument/2006/relationships/hyperlink" Target="http://znanium.com/" TargetMode="External"/><Relationship Id="rId15" Type="http://schemas.openxmlformats.org/officeDocument/2006/relationships/hyperlink" Target="https://www.prlib.ru/" TargetMode="External"/><Relationship Id="rId16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hyperlink" Target="http://ohranatruda.ru/ot_biblio/normativ/data_normativ/9/9744/" TargetMode="External"/><Relationship Id="rId20" Type="http://schemas.openxmlformats.org/officeDocument/2006/relationships/hyperlink" Target="http://fcior.edu.ru/catalog/meta/5/p/page.html" TargetMode="External"/><Relationship Id="rId21" Type="http://schemas.openxmlformats.org/officeDocument/2006/relationships/hyperlink" Target="http://www.jur-jur.ru/journals/jur22/index.html" TargetMode="External"/><Relationship Id="rId22" Type="http://schemas.openxmlformats.org/officeDocument/2006/relationships/hyperlink" Target="http://www.eda-server.ru/gastronom/" TargetMode="External"/><Relationship Id="rId23" Type="http://schemas.openxmlformats.org/officeDocument/2006/relationships/hyperlink" Target="http://www.eda-server.ru/culinary-school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F9D3-B1FA-4B19-A1E0-C16101A65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Юлия Кисаубаева</cp:lastModifiedBy>
  <cp:revision>56</cp:revision>
  <dcterms:created xsi:type="dcterms:W3CDTF">2020-07-10T06:03:00Z</dcterms:created>
  <dcterms:modified xsi:type="dcterms:W3CDTF">2026-02-06T03:49:05Z</dcterms:modified>
</cp:coreProperties>
</file>